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6353EE" w:rsidRPr="006353EE" w:rsidP="006353EE" w14:paraId="6028C2BC" w14:textId="35148635">
      <w:pPr>
        <w:spacing w:after="0"/>
        <w:jc w:val="center"/>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 xml:space="preserve">PUC DOCKET NO. </w:t>
      </w:r>
      <w:r w:rsidR="00361879">
        <w:rPr>
          <w:rFonts w:ascii="Times New Roman" w:hAnsi="Times New Roman" w:cs="Times New Roman"/>
          <w:b/>
          <w:bCs/>
          <w:sz w:val="24"/>
          <w:szCs w:val="24"/>
        </w:rPr>
        <w:t>53491</w:t>
      </w:r>
    </w:p>
    <w:p w:rsidR="006353EE" w:rsidRPr="006353EE" w:rsidP="006353EE" w14:paraId="16C393C5" w14:textId="77777777">
      <w:pPr>
        <w:spacing w:after="0"/>
        <w:rPr>
          <w:rFonts w:ascii="Times New Roman" w:hAnsi="Times New Roman" w:cs="Times New Roman"/>
          <w:b/>
          <w:bCs/>
          <w:color w:val="auto"/>
          <w:sz w:val="24"/>
          <w:szCs w:val="24"/>
          <w:shd w:val="clear" w:color="auto" w:fill="auto"/>
        </w:rPr>
      </w:pPr>
    </w:p>
    <w:tbl>
      <w:tblPr>
        <w:tblW w:w="0" w:type="auto"/>
        <w:tblLook w:val="0000"/>
      </w:tblPr>
      <w:tblGrid>
        <w:gridCol w:w="4857"/>
        <w:gridCol w:w="372"/>
        <w:gridCol w:w="4131"/>
      </w:tblGrid>
      <w:tr w14:paraId="256EDDE8" w14:textId="77777777" w:rsidTr="00C80AC8">
        <w:tblPrEx>
          <w:tblW w:w="0" w:type="auto"/>
          <w:tblLook w:val="0000"/>
        </w:tblPrEx>
        <w:tc>
          <w:tcPr>
            <w:tcW w:w="4970" w:type="dxa"/>
          </w:tcPr>
          <w:tbl>
            <w:tblPr>
              <w:tblW w:w="0" w:type="auto"/>
              <w:tblLook w:val="0000"/>
            </w:tblPr>
            <w:tblGrid>
              <w:gridCol w:w="4641"/>
            </w:tblGrid>
            <w:tr w14:paraId="04FA6AF4" w14:textId="77777777" w:rsidTr="00C80AC8">
              <w:tblPrEx>
                <w:tblW w:w="0" w:type="auto"/>
                <w:tblLook w:val="0000"/>
              </w:tblPrEx>
              <w:tc>
                <w:tcPr>
                  <w:tcW w:w="4970" w:type="dxa"/>
                </w:tcPr>
                <w:p w:rsidR="006353EE" w:rsidRPr="006353EE" w:rsidP="006353EE" w14:paraId="250D2969" w14:textId="5C3C4845">
                  <w:pPr>
                    <w:spacing w:after="0"/>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 xml:space="preserve">APPLICATION OF ONCOR ELECTRIC DELIVERY COMPANY LLC TO AMEND ITS CERTIFICATE OF CONVENIENCE AND NECESSITY FOR THE </w:t>
                  </w:r>
                  <w:r w:rsidR="00361879">
                    <w:rPr>
                      <w:rFonts w:ascii="Times New Roman" w:hAnsi="Times New Roman" w:cs="Times New Roman"/>
                      <w:b/>
                      <w:bCs/>
                      <w:sz w:val="24"/>
                      <w:szCs w:val="24"/>
                    </w:rPr>
                    <w:t>FLAT IRON-BARR RANCH-QUICK RIVER TAP 138-KV TRANSMISSION LINE IN MIDLAND COUNTY</w:t>
                  </w:r>
                </w:p>
              </w:tc>
            </w:tr>
          </w:tbl>
          <w:p w:rsidR="006353EE" w:rsidRPr="006353EE" w:rsidP="006353EE" w14:paraId="15E5C2E6" w14:textId="77777777">
            <w:pPr>
              <w:spacing w:after="0"/>
              <w:rPr>
                <w:rFonts w:ascii="Times New Roman" w:hAnsi="Times New Roman" w:cs="Times New Roman"/>
                <w:b/>
                <w:bCs/>
                <w:color w:val="auto"/>
                <w:sz w:val="24"/>
                <w:szCs w:val="24"/>
                <w:shd w:val="clear" w:color="auto" w:fill="auto"/>
              </w:rPr>
            </w:pPr>
          </w:p>
        </w:tc>
        <w:tc>
          <w:tcPr>
            <w:tcW w:w="374" w:type="dxa"/>
          </w:tcPr>
          <w:p w:rsidR="006353EE" w:rsidRPr="006353EE" w:rsidP="006353EE" w14:paraId="2A72A42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0B0F772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6B5A1177"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795CF25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7DC929CC"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RPr="006353EE" w:rsidP="006353EE" w14:paraId="29557A9C"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353EE" w:rsidP="006353EE" w14:paraId="7CF9D922" w14:textId="77777777">
            <w:pPr>
              <w:spacing w:after="0"/>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w:t>
            </w:r>
          </w:p>
          <w:p w:rsidR="006A0520" w:rsidRPr="000D028C" w:rsidP="006353EE" w14:paraId="7CFF571C" w14:textId="12154728">
            <w:pPr>
              <w:spacing w:after="0"/>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 xml:space="preserve">§ </w:t>
            </w:r>
          </w:p>
        </w:tc>
        <w:tc>
          <w:tcPr>
            <w:tcW w:w="4232" w:type="dxa"/>
          </w:tcPr>
          <w:p w:rsidR="006353EE" w:rsidP="00361879" w14:paraId="6ABDBC23" w14:textId="2BBC4FBA">
            <w:pPr>
              <w:spacing w:after="0"/>
              <w:jc w:val="center"/>
              <w:rPr>
                <w:rFonts w:ascii="Times New Roman" w:hAnsi="Times New Roman" w:cs="Times New Roman"/>
                <w:b/>
                <w:bCs/>
                <w:color w:val="auto"/>
                <w:sz w:val="24"/>
                <w:szCs w:val="24"/>
                <w:shd w:val="clear" w:color="auto" w:fill="auto"/>
              </w:rPr>
            </w:pPr>
            <w:r>
              <w:rPr>
                <w:rFonts w:ascii="Times New Roman" w:hAnsi="Times New Roman" w:cs="Times New Roman"/>
                <w:b/>
                <w:bCs/>
                <w:sz w:val="24"/>
                <w:szCs w:val="24"/>
              </w:rPr>
              <w:t>BEFORE THE</w:t>
            </w:r>
          </w:p>
          <w:p w:rsidR="00361879" w:rsidRPr="006353EE" w:rsidP="00361879" w14:paraId="724B51BB" w14:textId="77777777">
            <w:pPr>
              <w:spacing w:after="0"/>
              <w:jc w:val="center"/>
              <w:rPr>
                <w:rFonts w:ascii="Times New Roman" w:hAnsi="Times New Roman" w:cs="Times New Roman"/>
                <w:b/>
                <w:bCs/>
                <w:color w:val="auto"/>
                <w:sz w:val="24"/>
                <w:szCs w:val="24"/>
                <w:shd w:val="clear" w:color="auto" w:fill="auto"/>
              </w:rPr>
            </w:pPr>
          </w:p>
          <w:p w:rsidR="006353EE" w:rsidRPr="006353EE" w:rsidP="00361879" w14:paraId="0BE78B5F" w14:textId="77777777">
            <w:pPr>
              <w:spacing w:after="0"/>
              <w:jc w:val="center"/>
              <w:rPr>
                <w:rFonts w:ascii="Times New Roman" w:hAnsi="Times New Roman" w:cs="Times New Roman"/>
                <w:b/>
                <w:bCs/>
                <w:color w:val="auto"/>
                <w:sz w:val="24"/>
                <w:szCs w:val="24"/>
                <w:shd w:val="clear" w:color="auto" w:fill="auto"/>
              </w:rPr>
            </w:pPr>
          </w:p>
          <w:p w:rsidR="006353EE" w:rsidRPr="006353EE" w:rsidP="00361879" w14:paraId="4CDA6A44" w14:textId="77777777">
            <w:pPr>
              <w:spacing w:after="0"/>
              <w:jc w:val="center"/>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PUBLIC UTILITY COMMISSION</w:t>
            </w:r>
          </w:p>
          <w:p w:rsidR="006353EE" w:rsidRPr="006353EE" w:rsidP="00361879" w14:paraId="722B99BA" w14:textId="77777777">
            <w:pPr>
              <w:spacing w:after="0"/>
              <w:jc w:val="center"/>
              <w:rPr>
                <w:rFonts w:ascii="Times New Roman" w:hAnsi="Times New Roman" w:cs="Times New Roman"/>
                <w:b/>
                <w:bCs/>
                <w:color w:val="auto"/>
                <w:sz w:val="24"/>
                <w:szCs w:val="24"/>
                <w:shd w:val="clear" w:color="auto" w:fill="auto"/>
              </w:rPr>
            </w:pPr>
          </w:p>
          <w:p w:rsidR="006353EE" w:rsidRPr="006353EE" w:rsidP="00361879" w14:paraId="0DB56B69" w14:textId="77777777">
            <w:pPr>
              <w:spacing w:after="0"/>
              <w:jc w:val="center"/>
              <w:rPr>
                <w:rFonts w:ascii="Times New Roman" w:hAnsi="Times New Roman" w:cs="Times New Roman"/>
                <w:b/>
                <w:bCs/>
                <w:color w:val="auto"/>
                <w:sz w:val="24"/>
                <w:szCs w:val="24"/>
                <w:shd w:val="clear" w:color="auto" w:fill="auto"/>
              </w:rPr>
            </w:pPr>
          </w:p>
          <w:p w:rsidR="006353EE" w:rsidRPr="006353EE" w:rsidP="00361879" w14:paraId="03E651EC" w14:textId="4E8B77DB">
            <w:pPr>
              <w:spacing w:after="0"/>
              <w:jc w:val="center"/>
              <w:rPr>
                <w:rFonts w:ascii="Times New Roman" w:hAnsi="Times New Roman" w:cs="Times New Roman"/>
                <w:b/>
                <w:bCs/>
                <w:color w:val="auto"/>
                <w:sz w:val="24"/>
                <w:szCs w:val="24"/>
                <w:shd w:val="clear" w:color="auto" w:fill="auto"/>
              </w:rPr>
            </w:pPr>
            <w:r w:rsidRPr="006353EE">
              <w:rPr>
                <w:rFonts w:ascii="Times New Roman" w:hAnsi="Times New Roman" w:cs="Times New Roman"/>
                <w:b/>
                <w:bCs/>
                <w:sz w:val="24"/>
                <w:szCs w:val="24"/>
              </w:rPr>
              <w:t>OF TEXAS</w:t>
            </w:r>
          </w:p>
          <w:p w:rsidR="006353EE" w:rsidRPr="006353EE" w:rsidP="006353EE" w14:paraId="35E175BF" w14:textId="77777777">
            <w:pPr>
              <w:spacing w:after="0"/>
              <w:rPr>
                <w:rFonts w:ascii="Times New Roman" w:hAnsi="Times New Roman" w:cs="Times New Roman"/>
                <w:b/>
                <w:bCs/>
                <w:color w:val="auto"/>
                <w:sz w:val="24"/>
                <w:szCs w:val="24"/>
                <w:shd w:val="clear" w:color="auto" w:fill="auto"/>
              </w:rPr>
            </w:pPr>
          </w:p>
        </w:tc>
      </w:tr>
    </w:tbl>
    <w:p w:rsidR="00FD27BA" w:rsidRPr="00D870AD" w:rsidP="00FD27BA" w14:paraId="2943C5A1" w14:textId="77777777">
      <w:pPr>
        <w:spacing w:after="0"/>
        <w:rPr>
          <w:rFonts w:ascii="Times New Roman" w:hAnsi="Times New Roman" w:cs="Times New Roman"/>
          <w:b/>
          <w:color w:val="auto"/>
          <w:shd w:val="clear" w:color="auto" w:fill="auto"/>
        </w:rPr>
      </w:pPr>
    </w:p>
    <w:p w:rsidR="00FD27BA" w:rsidRPr="00D870AD" w:rsidP="00FD27BA" w14:paraId="28017BBE" w14:textId="0EA6E74C">
      <w:pPr>
        <w:spacing w:after="0"/>
        <w:jc w:val="center"/>
        <w:rPr>
          <w:rFonts w:ascii="Times New Roman" w:hAnsi="Times New Roman" w:cs="Times New Roman"/>
          <w:b/>
          <w:color w:val="auto"/>
          <w:sz w:val="24"/>
          <w:szCs w:val="24"/>
          <w:u w:val="single"/>
          <w:shd w:val="clear" w:color="auto" w:fill="auto"/>
        </w:rPr>
      </w:pPr>
      <w:r>
        <w:rPr>
          <w:rFonts w:ascii="Times New Roman" w:hAnsi="Times New Roman" w:cs="Times New Roman"/>
          <w:b/>
          <w:sz w:val="24"/>
          <w:szCs w:val="24"/>
          <w:u w:val="single"/>
        </w:rPr>
        <w:t xml:space="preserve">ONCOR ELECTRIC DELIVERY COMPANY LLC’S </w:t>
      </w:r>
      <w:r>
        <w:rPr>
          <w:rFonts w:ascii="Times New Roman" w:hAnsi="Times New Roman" w:cs="Times New Roman"/>
          <w:b/>
          <w:sz w:val="24"/>
          <w:szCs w:val="24"/>
          <w:u w:val="single"/>
        </w:rPr>
        <w:t>RESPONSE TO ORDER NO. 1</w:t>
      </w:r>
    </w:p>
    <w:p w:rsidR="00CC15F3" w:rsidP="00FD27BA" w14:paraId="5BF50216" w14:textId="77777777">
      <w:pPr>
        <w:spacing w:after="0"/>
        <w:rPr>
          <w:rFonts w:ascii="Times New Roman" w:hAnsi="Times New Roman" w:cs="Times New Roman"/>
          <w:color w:val="auto"/>
          <w:sz w:val="24"/>
          <w:szCs w:val="24"/>
          <w:shd w:val="clear" w:color="auto" w:fill="auto"/>
        </w:rPr>
      </w:pPr>
    </w:p>
    <w:p w:rsidR="00FD27BA" w:rsidP="00FD2939" w14:paraId="615DEC91" w14:textId="2DCFAA3A">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6353EE">
        <w:rPr>
          <w:rFonts w:ascii="Times New Roman" w:hAnsi="Times New Roman" w:cs="Times New Roman"/>
          <w:sz w:val="24"/>
          <w:szCs w:val="24"/>
        </w:rPr>
        <w:t xml:space="preserve">Oncor Electric Delivery Company LLC (“Oncor”) </w:t>
      </w:r>
      <w:r>
        <w:rPr>
          <w:rFonts w:ascii="Times New Roman" w:hAnsi="Times New Roman" w:cs="Times New Roman"/>
          <w:sz w:val="24"/>
          <w:szCs w:val="24"/>
        </w:rPr>
        <w:t>file</w:t>
      </w:r>
      <w:r w:rsidR="000D028C">
        <w:rPr>
          <w:rFonts w:ascii="Times New Roman" w:hAnsi="Times New Roman" w:cs="Times New Roman"/>
          <w:sz w:val="24"/>
          <w:szCs w:val="24"/>
        </w:rPr>
        <w:t>s</w:t>
      </w:r>
      <w:r>
        <w:rPr>
          <w:rFonts w:ascii="Times New Roman" w:hAnsi="Times New Roman" w:cs="Times New Roman"/>
          <w:sz w:val="24"/>
          <w:szCs w:val="24"/>
        </w:rPr>
        <w:t xml:space="preserve"> this Response to </w:t>
      </w:r>
      <w:r w:rsidR="005718BA">
        <w:rPr>
          <w:rFonts w:ascii="Times New Roman" w:hAnsi="Times New Roman" w:cs="Times New Roman"/>
          <w:sz w:val="24"/>
          <w:szCs w:val="24"/>
        </w:rPr>
        <w:t>Order No.</w:t>
      </w:r>
      <w:r w:rsidR="000D028C">
        <w:rPr>
          <w:rFonts w:ascii="Times New Roman" w:hAnsi="Times New Roman" w:cs="Times New Roman"/>
          <w:sz w:val="24"/>
          <w:szCs w:val="24"/>
        </w:rPr>
        <w:t xml:space="preserve"> </w:t>
      </w:r>
      <w:r>
        <w:rPr>
          <w:rFonts w:ascii="Times New Roman" w:hAnsi="Times New Roman" w:cs="Times New Roman"/>
          <w:sz w:val="24"/>
          <w:szCs w:val="24"/>
        </w:rPr>
        <w:t xml:space="preserve">1 </w:t>
      </w:r>
      <w:r w:rsidR="00771CD3">
        <w:rPr>
          <w:rFonts w:ascii="Times New Roman" w:hAnsi="Times New Roman" w:cs="Times New Roman"/>
          <w:sz w:val="24"/>
          <w:szCs w:val="24"/>
        </w:rPr>
        <w:t xml:space="preserve">(“Response”) </w:t>
      </w:r>
      <w:r>
        <w:rPr>
          <w:rFonts w:ascii="Times New Roman" w:hAnsi="Times New Roman" w:cs="Times New Roman"/>
          <w:sz w:val="24"/>
          <w:szCs w:val="24"/>
        </w:rPr>
        <w:t>and would respectfully show as follows:</w:t>
      </w:r>
    </w:p>
    <w:p w:rsidR="00FD27BA" w:rsidRPr="00FD27BA" w:rsidP="00FD2939" w14:paraId="6B496A10" w14:textId="77777777">
      <w:pPr>
        <w:pStyle w:val="ListParagraph"/>
        <w:numPr>
          <w:ilvl w:val="0"/>
          <w:numId w:val="2"/>
        </w:numPr>
        <w:autoSpaceDE w:val="0"/>
        <w:autoSpaceDN w:val="0"/>
        <w:adjustRightInd w:val="0"/>
        <w:spacing w:after="0" w:line="360" w:lineRule="auto"/>
        <w:jc w:val="center"/>
        <w:rPr>
          <w:rFonts w:ascii="Times New Roman" w:hAnsi="Times New Roman" w:cs="Times New Roman"/>
          <w:b/>
          <w:color w:val="auto"/>
          <w:sz w:val="24"/>
          <w:szCs w:val="24"/>
          <w:u w:val="single"/>
          <w:shd w:val="clear" w:color="auto" w:fill="auto"/>
        </w:rPr>
      </w:pPr>
      <w:r w:rsidRPr="00FD27BA">
        <w:rPr>
          <w:rFonts w:ascii="Times New Roman" w:hAnsi="Times New Roman" w:cs="Times New Roman"/>
          <w:b/>
          <w:sz w:val="24"/>
          <w:szCs w:val="24"/>
          <w:u w:val="single"/>
        </w:rPr>
        <w:t>INTRODUCTION</w:t>
      </w:r>
    </w:p>
    <w:p w:rsidR="00027C77" w:rsidP="00FD2939" w14:paraId="7A76DD86" w14:textId="54F85D02">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FD27BA">
        <w:rPr>
          <w:rFonts w:ascii="Times New Roman" w:hAnsi="Times New Roman" w:cs="Times New Roman"/>
          <w:sz w:val="24"/>
          <w:szCs w:val="24"/>
        </w:rPr>
        <w:t xml:space="preserve">On </w:t>
      </w:r>
      <w:r w:rsidR="006A0520">
        <w:rPr>
          <w:rFonts w:ascii="Times New Roman" w:hAnsi="Times New Roman" w:cs="Times New Roman"/>
          <w:sz w:val="24"/>
          <w:szCs w:val="24"/>
        </w:rPr>
        <w:t>April 28, 2022</w:t>
      </w:r>
      <w:r w:rsidRPr="00FD27BA">
        <w:rPr>
          <w:rFonts w:ascii="Times New Roman" w:hAnsi="Times New Roman" w:cs="Times New Roman"/>
          <w:sz w:val="24"/>
          <w:szCs w:val="24"/>
        </w:rPr>
        <w:t xml:space="preserve">, </w:t>
      </w:r>
      <w:r>
        <w:rPr>
          <w:rFonts w:ascii="Times New Roman" w:hAnsi="Times New Roman" w:cs="Times New Roman"/>
          <w:sz w:val="24"/>
          <w:szCs w:val="24"/>
        </w:rPr>
        <w:t xml:space="preserve">Oncor </w:t>
      </w:r>
      <w:r w:rsidRPr="00FD27BA">
        <w:rPr>
          <w:rFonts w:ascii="Times New Roman" w:hAnsi="Times New Roman" w:cs="Times New Roman"/>
          <w:sz w:val="24"/>
          <w:szCs w:val="24"/>
        </w:rPr>
        <w:t xml:space="preserve">filed </w:t>
      </w:r>
      <w:r w:rsidR="000D028C">
        <w:rPr>
          <w:rFonts w:ascii="Times New Roman" w:hAnsi="Times New Roman" w:cs="Times New Roman"/>
          <w:sz w:val="24"/>
          <w:szCs w:val="24"/>
        </w:rPr>
        <w:t xml:space="preserve">an </w:t>
      </w:r>
      <w:r w:rsidRPr="00FD27BA">
        <w:rPr>
          <w:rFonts w:ascii="Times New Roman" w:hAnsi="Times New Roman" w:cs="Times New Roman"/>
          <w:sz w:val="24"/>
          <w:szCs w:val="24"/>
        </w:rPr>
        <w:t>application</w:t>
      </w:r>
      <w:r w:rsidR="000A52C6">
        <w:rPr>
          <w:rFonts w:ascii="Times New Roman" w:hAnsi="Times New Roman" w:cs="Times New Roman"/>
          <w:sz w:val="24"/>
          <w:szCs w:val="24"/>
        </w:rPr>
        <w:t xml:space="preserve"> </w:t>
      </w:r>
      <w:r w:rsidR="00325766">
        <w:rPr>
          <w:rFonts w:ascii="Times New Roman" w:hAnsi="Times New Roman" w:cs="Times New Roman"/>
          <w:sz w:val="24"/>
          <w:szCs w:val="24"/>
        </w:rPr>
        <w:t>(the “Application”)</w:t>
      </w:r>
      <w:r w:rsidRPr="00FD27BA">
        <w:rPr>
          <w:rFonts w:ascii="Times New Roman" w:hAnsi="Times New Roman" w:cs="Times New Roman"/>
          <w:sz w:val="24"/>
          <w:szCs w:val="24"/>
        </w:rPr>
        <w:t xml:space="preserve"> to amend </w:t>
      </w:r>
      <w:r w:rsidR="000D028C">
        <w:rPr>
          <w:rFonts w:ascii="Times New Roman" w:hAnsi="Times New Roman" w:cs="Times New Roman"/>
          <w:sz w:val="24"/>
          <w:szCs w:val="24"/>
        </w:rPr>
        <w:t>its</w:t>
      </w:r>
      <w:r>
        <w:rPr>
          <w:rFonts w:ascii="Times New Roman" w:hAnsi="Times New Roman" w:cs="Times New Roman"/>
          <w:sz w:val="24"/>
          <w:szCs w:val="24"/>
        </w:rPr>
        <w:t xml:space="preserve"> </w:t>
      </w:r>
      <w:r w:rsidRPr="00FD27BA">
        <w:rPr>
          <w:rFonts w:ascii="Times New Roman" w:hAnsi="Times New Roman" w:cs="Times New Roman"/>
          <w:sz w:val="24"/>
          <w:szCs w:val="24"/>
        </w:rPr>
        <w:t>certificate of convenience</w:t>
      </w:r>
      <w:r>
        <w:rPr>
          <w:rFonts w:ascii="Times New Roman" w:hAnsi="Times New Roman" w:cs="Times New Roman"/>
          <w:sz w:val="24"/>
          <w:szCs w:val="24"/>
        </w:rPr>
        <w:t xml:space="preserve"> </w:t>
      </w:r>
      <w:r w:rsidRPr="00FD27BA">
        <w:rPr>
          <w:rFonts w:ascii="Times New Roman" w:hAnsi="Times New Roman" w:cs="Times New Roman"/>
          <w:sz w:val="24"/>
          <w:szCs w:val="24"/>
        </w:rPr>
        <w:t xml:space="preserve">and necessity </w:t>
      </w:r>
      <w:r w:rsidR="00771CD3">
        <w:rPr>
          <w:rFonts w:ascii="Times New Roman" w:hAnsi="Times New Roman" w:cs="Times New Roman"/>
          <w:sz w:val="24"/>
          <w:szCs w:val="24"/>
        </w:rPr>
        <w:t xml:space="preserve">for the </w:t>
      </w:r>
      <w:r w:rsidR="00696E7E">
        <w:rPr>
          <w:rFonts w:ascii="Times New Roman" w:hAnsi="Times New Roman" w:cs="Times New Roman"/>
          <w:sz w:val="24"/>
          <w:szCs w:val="24"/>
        </w:rPr>
        <w:t xml:space="preserve">proposed </w:t>
      </w:r>
      <w:r w:rsidR="006A0520">
        <w:rPr>
          <w:rFonts w:ascii="Times New Roman" w:hAnsi="Times New Roman" w:cs="Times New Roman"/>
          <w:sz w:val="24"/>
          <w:szCs w:val="24"/>
        </w:rPr>
        <w:t>Flat Iron-Barr Ranch-Quick River Tap 138</w:t>
      </w:r>
      <w:r w:rsidR="003C79A8">
        <w:rPr>
          <w:rFonts w:ascii="Times New Roman" w:hAnsi="Times New Roman" w:cs="Times New Roman"/>
          <w:sz w:val="24"/>
          <w:szCs w:val="24"/>
        </w:rPr>
        <w:t xml:space="preserve"> </w:t>
      </w:r>
      <w:r w:rsidR="006A0520">
        <w:rPr>
          <w:rFonts w:ascii="Times New Roman" w:hAnsi="Times New Roman" w:cs="Times New Roman"/>
          <w:sz w:val="24"/>
          <w:szCs w:val="24"/>
        </w:rPr>
        <w:t>kV</w:t>
      </w:r>
      <w:r w:rsidRPr="00027C77">
        <w:rPr>
          <w:rFonts w:ascii="Times New Roman" w:hAnsi="Times New Roman" w:cs="Times New Roman"/>
          <w:sz w:val="24"/>
          <w:szCs w:val="24"/>
        </w:rPr>
        <w:t xml:space="preserve"> </w:t>
      </w:r>
      <w:r w:rsidR="006A0520">
        <w:rPr>
          <w:rFonts w:ascii="Times New Roman" w:hAnsi="Times New Roman" w:cs="Times New Roman"/>
          <w:sz w:val="24"/>
          <w:szCs w:val="24"/>
        </w:rPr>
        <w:t>transmission line project</w:t>
      </w:r>
      <w:r w:rsidRPr="00027C77">
        <w:rPr>
          <w:rFonts w:ascii="Times New Roman" w:hAnsi="Times New Roman" w:cs="Times New Roman"/>
          <w:sz w:val="24"/>
          <w:szCs w:val="24"/>
        </w:rPr>
        <w:t xml:space="preserve"> (</w:t>
      </w:r>
      <w:r w:rsidR="00655F38">
        <w:rPr>
          <w:rFonts w:ascii="Times New Roman" w:hAnsi="Times New Roman" w:cs="Times New Roman"/>
          <w:sz w:val="24"/>
          <w:szCs w:val="24"/>
        </w:rPr>
        <w:t>the</w:t>
      </w:r>
      <w:r w:rsidRPr="00027C77">
        <w:rPr>
          <w:rFonts w:ascii="Times New Roman" w:hAnsi="Times New Roman" w:cs="Times New Roman"/>
          <w:sz w:val="24"/>
          <w:szCs w:val="24"/>
        </w:rPr>
        <w:t xml:space="preserve"> “Project”)</w:t>
      </w:r>
      <w:r w:rsidR="00771CD3">
        <w:rPr>
          <w:rFonts w:ascii="Times New Roman" w:hAnsi="Times New Roman" w:cs="Times New Roman"/>
          <w:sz w:val="24"/>
          <w:szCs w:val="24"/>
        </w:rPr>
        <w:t xml:space="preserve"> </w:t>
      </w:r>
      <w:r w:rsidR="006A0520">
        <w:rPr>
          <w:rFonts w:ascii="Times New Roman" w:hAnsi="Times New Roman" w:cs="Times New Roman"/>
          <w:sz w:val="24"/>
          <w:szCs w:val="24"/>
        </w:rPr>
        <w:t>in Midland</w:t>
      </w:r>
      <w:r w:rsidR="00771CD3">
        <w:rPr>
          <w:rFonts w:ascii="Times New Roman" w:hAnsi="Times New Roman" w:cs="Times New Roman"/>
          <w:sz w:val="24"/>
          <w:szCs w:val="24"/>
        </w:rPr>
        <w:t xml:space="preserve"> County, Texas</w:t>
      </w:r>
      <w:r w:rsidR="00237FDB">
        <w:rPr>
          <w:rFonts w:ascii="Times New Roman" w:hAnsi="Times New Roman" w:cs="Times New Roman"/>
          <w:sz w:val="24"/>
          <w:szCs w:val="24"/>
        </w:rPr>
        <w:t>.</w:t>
      </w:r>
      <w:r w:rsidR="00771CD3">
        <w:rPr>
          <w:rFonts w:ascii="Times New Roman" w:hAnsi="Times New Roman" w:cs="Times New Roman"/>
          <w:sz w:val="24"/>
          <w:szCs w:val="24"/>
        </w:rPr>
        <w:t xml:space="preserve"> </w:t>
      </w:r>
      <w:r w:rsidR="00BF3CA6">
        <w:rPr>
          <w:rFonts w:ascii="Times New Roman" w:hAnsi="Times New Roman" w:cs="Times New Roman"/>
          <w:sz w:val="24"/>
          <w:szCs w:val="24"/>
        </w:rPr>
        <w:t xml:space="preserve"> </w:t>
      </w:r>
      <w:r w:rsidR="00771CD3">
        <w:rPr>
          <w:rFonts w:ascii="Times New Roman" w:hAnsi="Times New Roman" w:cs="Times New Roman"/>
          <w:sz w:val="24"/>
          <w:szCs w:val="24"/>
        </w:rPr>
        <w:t xml:space="preserve">On </w:t>
      </w:r>
      <w:r w:rsidR="006A0520">
        <w:rPr>
          <w:rFonts w:ascii="Times New Roman" w:hAnsi="Times New Roman" w:cs="Times New Roman"/>
          <w:sz w:val="24"/>
          <w:szCs w:val="24"/>
        </w:rPr>
        <w:t>May 2, 2022</w:t>
      </w:r>
      <w:r w:rsidR="00771CD3">
        <w:rPr>
          <w:rFonts w:ascii="Times New Roman" w:hAnsi="Times New Roman" w:cs="Times New Roman"/>
          <w:sz w:val="24"/>
          <w:szCs w:val="24"/>
        </w:rPr>
        <w:t xml:space="preserve">, the Public Utility Commission of Texas (“Commission”) Office of Policy and Docket Management issued Order No. 1 Requiring Information from Applicant and Recommendation from Staff on Sufficiency of Application and Notice; </w:t>
      </w:r>
      <w:r w:rsidR="006A0520">
        <w:rPr>
          <w:rFonts w:ascii="Times New Roman" w:hAnsi="Times New Roman" w:cs="Times New Roman"/>
          <w:sz w:val="24"/>
          <w:szCs w:val="24"/>
        </w:rPr>
        <w:t xml:space="preserve">and </w:t>
      </w:r>
      <w:r w:rsidR="00771CD3">
        <w:rPr>
          <w:rFonts w:ascii="Times New Roman" w:hAnsi="Times New Roman" w:cs="Times New Roman"/>
          <w:sz w:val="24"/>
          <w:szCs w:val="24"/>
        </w:rPr>
        <w:t>Addressing Other Procedural Matters (“Order No. 1”).</w:t>
      </w:r>
      <w:r>
        <w:rPr>
          <w:rStyle w:val="FootnoteReference"/>
          <w:rFonts w:ascii="Times New Roman" w:hAnsi="Times New Roman" w:cs="Times New Roman"/>
          <w:sz w:val="24"/>
          <w:szCs w:val="24"/>
        </w:rPr>
        <w:footnoteReference w:id="2"/>
      </w:r>
      <w:r w:rsidR="00771CD3">
        <w:rPr>
          <w:rFonts w:ascii="Times New Roman" w:hAnsi="Times New Roman" w:cs="Times New Roman"/>
          <w:sz w:val="24"/>
          <w:szCs w:val="24"/>
        </w:rPr>
        <w:t xml:space="preserve">  Among other things, Order No. 1</w:t>
      </w:r>
      <w:r w:rsidR="00BF1385">
        <w:rPr>
          <w:rFonts w:ascii="Times New Roman" w:hAnsi="Times New Roman" w:cs="Times New Roman"/>
          <w:sz w:val="24"/>
          <w:szCs w:val="24"/>
        </w:rPr>
        <w:t>:</w:t>
      </w:r>
      <w:r w:rsidR="00771CD3">
        <w:rPr>
          <w:rFonts w:ascii="Times New Roman" w:hAnsi="Times New Roman" w:cs="Times New Roman"/>
          <w:sz w:val="24"/>
          <w:szCs w:val="24"/>
        </w:rPr>
        <w:t xml:space="preserve"> </w:t>
      </w:r>
      <w:r w:rsidR="005B10CB">
        <w:rPr>
          <w:rFonts w:ascii="Times New Roman" w:hAnsi="Times New Roman" w:cs="Times New Roman"/>
          <w:sz w:val="24"/>
          <w:szCs w:val="24"/>
        </w:rPr>
        <w:t xml:space="preserve">(a) </w:t>
      </w:r>
      <w:r w:rsidR="006A0520">
        <w:rPr>
          <w:rFonts w:ascii="Times New Roman" w:hAnsi="Times New Roman" w:cs="Times New Roman"/>
          <w:sz w:val="24"/>
          <w:szCs w:val="24"/>
        </w:rPr>
        <w:t xml:space="preserve">requested that Oncor address four issues </w:t>
      </w:r>
      <w:r w:rsidR="001A5D10">
        <w:rPr>
          <w:rFonts w:ascii="Times New Roman" w:hAnsi="Times New Roman" w:cs="Times New Roman"/>
          <w:sz w:val="24"/>
          <w:szCs w:val="24"/>
        </w:rPr>
        <w:t>regarding</w:t>
      </w:r>
      <w:r w:rsidR="006A0520">
        <w:rPr>
          <w:rFonts w:ascii="Times New Roman" w:hAnsi="Times New Roman" w:cs="Times New Roman"/>
          <w:sz w:val="24"/>
          <w:szCs w:val="24"/>
        </w:rPr>
        <w:t xml:space="preserve"> alternatives to the project</w:t>
      </w:r>
      <w:r w:rsidR="005B10CB">
        <w:rPr>
          <w:rFonts w:ascii="Times New Roman" w:hAnsi="Times New Roman" w:cs="Times New Roman"/>
          <w:sz w:val="24"/>
          <w:szCs w:val="24"/>
        </w:rPr>
        <w:t>,</w:t>
      </w:r>
      <w:r w:rsidR="00771CD3">
        <w:rPr>
          <w:rFonts w:ascii="Times New Roman" w:hAnsi="Times New Roman" w:cs="Times New Roman"/>
          <w:sz w:val="24"/>
          <w:szCs w:val="24"/>
        </w:rPr>
        <w:t xml:space="preserve"> and</w:t>
      </w:r>
      <w:r w:rsidR="005B10CB">
        <w:rPr>
          <w:rFonts w:ascii="Times New Roman" w:hAnsi="Times New Roman" w:cs="Times New Roman"/>
          <w:sz w:val="24"/>
          <w:szCs w:val="24"/>
        </w:rPr>
        <w:t xml:space="preserve"> (b) </w:t>
      </w:r>
      <w:r w:rsidR="006A0520">
        <w:rPr>
          <w:rFonts w:ascii="Times New Roman" w:hAnsi="Times New Roman" w:cs="Times New Roman"/>
          <w:sz w:val="24"/>
          <w:szCs w:val="24"/>
        </w:rPr>
        <w:t>required</w:t>
      </w:r>
      <w:r w:rsidR="00771CD3">
        <w:rPr>
          <w:rFonts w:ascii="Times New Roman" w:hAnsi="Times New Roman" w:cs="Times New Roman"/>
          <w:sz w:val="24"/>
          <w:szCs w:val="24"/>
        </w:rPr>
        <w:t xml:space="preserve"> </w:t>
      </w:r>
      <w:r w:rsidR="006C4F09">
        <w:rPr>
          <w:rFonts w:ascii="Times New Roman" w:hAnsi="Times New Roman" w:cs="Times New Roman"/>
          <w:sz w:val="24"/>
          <w:szCs w:val="24"/>
        </w:rPr>
        <w:t xml:space="preserve">that </w:t>
      </w:r>
      <w:r w:rsidR="00771CD3">
        <w:rPr>
          <w:rFonts w:ascii="Times New Roman" w:hAnsi="Times New Roman" w:cs="Times New Roman"/>
          <w:sz w:val="24"/>
          <w:szCs w:val="24"/>
        </w:rPr>
        <w:t xml:space="preserve">Oncor </w:t>
      </w:r>
      <w:r w:rsidR="00BF1385">
        <w:rPr>
          <w:rFonts w:ascii="Times New Roman" w:hAnsi="Times New Roman" w:cs="Times New Roman"/>
          <w:sz w:val="24"/>
          <w:szCs w:val="24"/>
        </w:rPr>
        <w:t>file its response</w:t>
      </w:r>
      <w:r w:rsidR="001A5D10">
        <w:rPr>
          <w:rFonts w:ascii="Times New Roman" w:hAnsi="Times New Roman" w:cs="Times New Roman"/>
          <w:sz w:val="24"/>
          <w:szCs w:val="24"/>
        </w:rPr>
        <w:t>s to those issues</w:t>
      </w:r>
      <w:r w:rsidR="00771CD3">
        <w:rPr>
          <w:rFonts w:ascii="Times New Roman" w:hAnsi="Times New Roman" w:cs="Times New Roman"/>
          <w:sz w:val="24"/>
          <w:szCs w:val="24"/>
        </w:rPr>
        <w:t xml:space="preserve"> by </w:t>
      </w:r>
      <w:r w:rsidR="001A5D10">
        <w:rPr>
          <w:rFonts w:ascii="Times New Roman" w:hAnsi="Times New Roman" w:cs="Times New Roman"/>
          <w:sz w:val="24"/>
          <w:szCs w:val="24"/>
        </w:rPr>
        <w:t>May 12, 2022</w:t>
      </w:r>
      <w:r w:rsidR="00771CD3">
        <w:rPr>
          <w:rFonts w:ascii="Times New Roman" w:hAnsi="Times New Roman" w:cs="Times New Roman"/>
          <w:sz w:val="24"/>
          <w:szCs w:val="24"/>
        </w:rPr>
        <w:t>.  Accordingly, this Response is timely filed.</w:t>
      </w:r>
    </w:p>
    <w:p w:rsidR="00FD27BA" w:rsidP="008E3B1F" w14:paraId="26F8A345" w14:textId="77777777">
      <w:pPr>
        <w:pStyle w:val="ListParagraph"/>
        <w:keepNext/>
        <w:numPr>
          <w:ilvl w:val="0"/>
          <w:numId w:val="2"/>
        </w:numPr>
        <w:autoSpaceDE w:val="0"/>
        <w:autoSpaceDN w:val="0"/>
        <w:adjustRightInd w:val="0"/>
        <w:spacing w:after="0" w:line="480" w:lineRule="auto"/>
        <w:jc w:val="center"/>
        <w:rPr>
          <w:rFonts w:ascii="Times New Roman" w:hAnsi="Times New Roman" w:cs="Times New Roman"/>
          <w:color w:val="auto"/>
          <w:sz w:val="24"/>
          <w:szCs w:val="24"/>
          <w:shd w:val="clear" w:color="auto" w:fill="auto"/>
        </w:rPr>
      </w:pPr>
      <w:r>
        <w:rPr>
          <w:rFonts w:ascii="Times New Roman" w:hAnsi="Times New Roman" w:cs="Times New Roman"/>
          <w:b/>
          <w:sz w:val="24"/>
          <w:szCs w:val="24"/>
          <w:u w:val="single"/>
        </w:rPr>
        <w:t>RESPONSE TO ORDER NO. 1</w:t>
      </w:r>
    </w:p>
    <w:p w:rsidR="009D4B01" w:rsidRPr="00BF3CA6" w:rsidP="0061076E" w14:paraId="2B9C510E" w14:textId="545BAAA6">
      <w:pPr>
        <w:pStyle w:val="ListParagraph"/>
        <w:numPr>
          <w:ilvl w:val="0"/>
          <w:numId w:val="3"/>
        </w:numPr>
        <w:autoSpaceDE w:val="0"/>
        <w:autoSpaceDN w:val="0"/>
        <w:adjustRightInd w:val="0"/>
        <w:spacing w:line="240" w:lineRule="auto"/>
        <w:jc w:val="both"/>
        <w:rPr>
          <w:rFonts w:ascii="Times New Roman" w:hAnsi="Times New Roman" w:cs="Times New Roman"/>
          <w:b/>
          <w:bCs/>
          <w:iCs/>
          <w:color w:val="auto"/>
          <w:sz w:val="28"/>
          <w:szCs w:val="24"/>
          <w:shd w:val="clear" w:color="auto" w:fill="auto"/>
        </w:rPr>
      </w:pPr>
      <w:r w:rsidRPr="00BF3CA6">
        <w:rPr>
          <w:rFonts w:ascii="Times New Roman" w:hAnsi="Times New Roman" w:cs="Times New Roman"/>
          <w:b/>
          <w:bCs/>
          <w:iCs/>
          <w:sz w:val="24"/>
        </w:rPr>
        <w:t xml:space="preserve">Has the Electric Reliability Council of Texas (ERCOT) </w:t>
      </w:r>
      <w:r w:rsidR="00BF3CA6">
        <w:rPr>
          <w:rFonts w:ascii="Times New Roman" w:hAnsi="Times New Roman" w:cs="Times New Roman"/>
          <w:b/>
          <w:bCs/>
          <w:iCs/>
          <w:sz w:val="24"/>
        </w:rPr>
        <w:t xml:space="preserve">Independent System Operator (ISO) </w:t>
      </w:r>
      <w:r w:rsidRPr="00BF3CA6">
        <w:rPr>
          <w:rFonts w:ascii="Times New Roman" w:hAnsi="Times New Roman" w:cs="Times New Roman"/>
          <w:b/>
          <w:bCs/>
          <w:iCs/>
          <w:sz w:val="24"/>
        </w:rPr>
        <w:t xml:space="preserve">recommended the proposed transmission </w:t>
      </w:r>
      <w:r w:rsidR="00BF3CA6">
        <w:rPr>
          <w:rFonts w:ascii="Times New Roman" w:hAnsi="Times New Roman" w:cs="Times New Roman"/>
          <w:b/>
          <w:bCs/>
          <w:iCs/>
          <w:sz w:val="24"/>
        </w:rPr>
        <w:t>line</w:t>
      </w:r>
      <w:r w:rsidRPr="00BF3CA6" w:rsidR="004B6CCC">
        <w:rPr>
          <w:rFonts w:ascii="Times New Roman" w:hAnsi="Times New Roman" w:cs="Times New Roman"/>
          <w:b/>
          <w:bCs/>
          <w:iCs/>
          <w:sz w:val="24"/>
        </w:rPr>
        <w:t xml:space="preserve"> as necessary to alleviate “</w:t>
      </w:r>
      <w:r w:rsidRPr="00BF3CA6">
        <w:rPr>
          <w:rFonts w:ascii="Times New Roman" w:hAnsi="Times New Roman" w:cs="Times New Roman"/>
          <w:b/>
          <w:bCs/>
          <w:iCs/>
          <w:sz w:val="24"/>
        </w:rPr>
        <w:t xml:space="preserve">existing and potential transmission and distribution constraints and system needs </w:t>
      </w:r>
      <w:r w:rsidRPr="00BF3CA6" w:rsidR="004B6CCC">
        <w:rPr>
          <w:rFonts w:ascii="Times New Roman" w:hAnsi="Times New Roman" w:cs="Times New Roman"/>
          <w:b/>
          <w:bCs/>
          <w:iCs/>
          <w:sz w:val="24"/>
        </w:rPr>
        <w:t xml:space="preserve">within </w:t>
      </w:r>
      <w:r w:rsidRPr="00BF3CA6" w:rsidR="004B6CCC">
        <w:rPr>
          <w:rFonts w:ascii="Times New Roman" w:hAnsi="Times New Roman" w:cs="Times New Roman"/>
          <w:b/>
          <w:bCs/>
          <w:iCs/>
          <w:sz w:val="24"/>
        </w:rPr>
        <w:t>ERCOT”</w:t>
      </w:r>
      <w:r w:rsidRPr="00BF3CA6">
        <w:rPr>
          <w:rFonts w:ascii="Times New Roman" w:hAnsi="Times New Roman" w:cs="Times New Roman"/>
          <w:b/>
          <w:bCs/>
          <w:iCs/>
          <w:sz w:val="24"/>
        </w:rPr>
        <w:t xml:space="preserve"> in the annual report filed under PURA</w:t>
      </w:r>
      <w:r>
        <w:rPr>
          <w:rStyle w:val="FootnoteReference"/>
          <w:rFonts w:ascii="Times New Roman" w:hAnsi="Times New Roman" w:cs="Times New Roman"/>
          <w:b/>
          <w:bCs/>
          <w:iCs/>
          <w:sz w:val="24"/>
        </w:rPr>
        <w:footnoteReference w:id="3"/>
      </w:r>
      <w:r w:rsidRPr="00BF3CA6" w:rsidR="002A48D9">
        <w:rPr>
          <w:rFonts w:ascii="Times New Roman" w:hAnsi="Times New Roman" w:cs="Times New Roman"/>
          <w:b/>
          <w:bCs/>
          <w:iCs/>
          <w:sz w:val="24"/>
        </w:rPr>
        <w:t xml:space="preserve"> </w:t>
      </w:r>
      <w:r w:rsidRPr="00BF3CA6">
        <w:rPr>
          <w:rFonts w:ascii="Times New Roman" w:hAnsi="Times New Roman" w:cs="Times New Roman"/>
          <w:b/>
          <w:bCs/>
          <w:iCs/>
          <w:sz w:val="24"/>
        </w:rPr>
        <w:t xml:space="preserve">§ 39.155(b)? If not, is there a need for the proposed transmission </w:t>
      </w:r>
      <w:r w:rsidR="00696E7E">
        <w:rPr>
          <w:rFonts w:ascii="Times New Roman" w:hAnsi="Times New Roman" w:cs="Times New Roman"/>
          <w:b/>
          <w:bCs/>
          <w:iCs/>
          <w:sz w:val="24"/>
        </w:rPr>
        <w:t>line</w:t>
      </w:r>
      <w:r w:rsidRPr="00BF3CA6">
        <w:rPr>
          <w:rFonts w:ascii="Times New Roman" w:hAnsi="Times New Roman" w:cs="Times New Roman"/>
          <w:b/>
          <w:bCs/>
          <w:iCs/>
          <w:sz w:val="24"/>
        </w:rPr>
        <w:t>?</w:t>
      </w:r>
    </w:p>
    <w:p w:rsidR="007D29D9" w:rsidP="00FD2939" w14:paraId="77B4F549" w14:textId="3D6B02FF">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The ERCOT ISO has not recommended the Project as necessary to alleviate “existing and potential transmission and distribution constraints and system needs within ERCOT” in the annual report filed under PURA § 39.155(b).  However, there is a need for the</w:t>
      </w:r>
      <w:r w:rsidR="00FD2939">
        <w:rPr>
          <w:rFonts w:ascii="Times New Roman" w:hAnsi="Times New Roman" w:cs="Times New Roman"/>
          <w:sz w:val="24"/>
          <w:szCs w:val="24"/>
        </w:rPr>
        <w:t xml:space="preserve"> Project</w:t>
      </w:r>
      <w:r w:rsidR="00430E5A">
        <w:rPr>
          <w:rFonts w:ascii="Times New Roman" w:hAnsi="Times New Roman" w:cs="Times New Roman"/>
          <w:sz w:val="24"/>
          <w:szCs w:val="24"/>
        </w:rPr>
        <w:t xml:space="preserve"> because ERCOT has deemed it critical to reliability</w:t>
      </w:r>
      <w:r>
        <w:rPr>
          <w:rFonts w:ascii="Times New Roman" w:hAnsi="Times New Roman" w:cs="Times New Roman"/>
          <w:sz w:val="24"/>
          <w:szCs w:val="24"/>
        </w:rPr>
        <w:t xml:space="preserve">.  </w:t>
      </w:r>
    </w:p>
    <w:p w:rsidR="001A5D10" w:rsidP="001A5D10" w14:paraId="289A8AC0" w14:textId="2E409BE9">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1A5D10">
        <w:rPr>
          <w:rFonts w:ascii="Times New Roman" w:hAnsi="Times New Roman" w:cs="Times New Roman"/>
          <w:sz w:val="24"/>
          <w:szCs w:val="24"/>
        </w:rPr>
        <w:t>Th</w:t>
      </w:r>
      <w:r>
        <w:rPr>
          <w:rFonts w:ascii="Times New Roman" w:hAnsi="Times New Roman" w:cs="Times New Roman"/>
          <w:sz w:val="24"/>
          <w:szCs w:val="24"/>
        </w:rPr>
        <w:t xml:space="preserve">e Project </w:t>
      </w:r>
      <w:r w:rsidRPr="001A5D10">
        <w:rPr>
          <w:rFonts w:ascii="Times New Roman" w:hAnsi="Times New Roman" w:cs="Times New Roman"/>
          <w:sz w:val="24"/>
          <w:szCs w:val="24"/>
        </w:rPr>
        <w:t xml:space="preserve">is needed to address reliability issues </w:t>
      </w:r>
      <w:r>
        <w:rPr>
          <w:rFonts w:ascii="Times New Roman" w:hAnsi="Times New Roman" w:cs="Times New Roman"/>
          <w:sz w:val="24"/>
          <w:szCs w:val="24"/>
        </w:rPr>
        <w:t xml:space="preserve">in </w:t>
      </w:r>
      <w:r w:rsidRPr="001A5D10">
        <w:rPr>
          <w:rFonts w:ascii="Times New Roman" w:hAnsi="Times New Roman" w:cs="Times New Roman"/>
          <w:sz w:val="24"/>
          <w:szCs w:val="24"/>
        </w:rPr>
        <w:t xml:space="preserve">West Texas.  </w:t>
      </w:r>
      <w:r w:rsidR="00430E5A">
        <w:rPr>
          <w:rFonts w:ascii="Times New Roman" w:hAnsi="Times New Roman" w:cs="Times New Roman"/>
          <w:sz w:val="24"/>
          <w:szCs w:val="24"/>
        </w:rPr>
        <w:t>S</w:t>
      </w:r>
      <w:r w:rsidRPr="001A5D10">
        <w:rPr>
          <w:rFonts w:ascii="Times New Roman" w:hAnsi="Times New Roman" w:cs="Times New Roman"/>
          <w:sz w:val="24"/>
          <w:szCs w:val="24"/>
        </w:rPr>
        <w:t xml:space="preserve">teady-state assessments for the 2022 and 2023 summer peak cases </w:t>
      </w:r>
      <w:r w:rsidR="00430E5A">
        <w:rPr>
          <w:rFonts w:ascii="Times New Roman" w:hAnsi="Times New Roman" w:cs="Times New Roman"/>
          <w:sz w:val="24"/>
          <w:szCs w:val="24"/>
        </w:rPr>
        <w:t xml:space="preserve">have </w:t>
      </w:r>
      <w:r w:rsidRPr="001A5D10">
        <w:rPr>
          <w:rFonts w:ascii="Times New Roman" w:hAnsi="Times New Roman" w:cs="Times New Roman"/>
          <w:sz w:val="24"/>
          <w:szCs w:val="24"/>
        </w:rPr>
        <w:t xml:space="preserve">revealed thermal and low-voltage violations under post-contingency conditions.  </w:t>
      </w:r>
    </w:p>
    <w:p w:rsidR="001A5D10" w:rsidP="00FB3E0E" w14:paraId="72A490B9" w14:textId="652E288D">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1A5D10">
        <w:rPr>
          <w:rFonts w:ascii="Times New Roman" w:hAnsi="Times New Roman" w:cs="Times New Roman"/>
          <w:sz w:val="24"/>
          <w:szCs w:val="24"/>
        </w:rPr>
        <w:t xml:space="preserve">Loading along this transmission line corridor has increased with the addition of new points-of-delivery and generation in the area.  Much of this increase results from growing oil and gas industry loads in the region.  </w:t>
      </w:r>
      <w:r w:rsidRPr="00FB3E0E" w:rsidR="003C79A8">
        <w:rPr>
          <w:rFonts w:ascii="Times New Roman" w:hAnsi="Times New Roman" w:cs="Times New Roman"/>
          <w:sz w:val="24"/>
          <w:szCs w:val="24"/>
        </w:rPr>
        <w:t>The</w:t>
      </w:r>
      <w:r w:rsidR="003C79A8">
        <w:rPr>
          <w:rFonts w:ascii="Times New Roman" w:hAnsi="Times New Roman" w:cs="Times New Roman"/>
          <w:sz w:val="24"/>
          <w:szCs w:val="24"/>
        </w:rPr>
        <w:t>se</w:t>
      </w:r>
      <w:r w:rsidRPr="00FB3E0E" w:rsidR="003C79A8">
        <w:rPr>
          <w:rFonts w:ascii="Times New Roman" w:hAnsi="Times New Roman" w:cs="Times New Roman"/>
          <w:sz w:val="24"/>
          <w:szCs w:val="24"/>
        </w:rPr>
        <w:t xml:space="preserve"> rapidly growing loads cause concerns for transmission reliability in the area.  </w:t>
      </w:r>
      <w:r w:rsidRPr="001A5D10">
        <w:rPr>
          <w:rFonts w:ascii="Times New Roman" w:hAnsi="Times New Roman" w:cs="Times New Roman"/>
          <w:sz w:val="24"/>
          <w:szCs w:val="24"/>
        </w:rPr>
        <w:t xml:space="preserve">Many of these customers’ physical locations are several miles from the nearest transmission lines and as a result they are served only by radial transmission lines.  </w:t>
      </w:r>
      <w:r w:rsidR="003C79A8">
        <w:rPr>
          <w:rFonts w:ascii="Times New Roman" w:hAnsi="Times New Roman" w:cs="Times New Roman"/>
          <w:sz w:val="24"/>
          <w:szCs w:val="24"/>
        </w:rPr>
        <w:t>As</w:t>
      </w:r>
      <w:r w:rsidRPr="00FB3E0E" w:rsidR="00FB3E0E">
        <w:rPr>
          <w:rFonts w:ascii="Times New Roman" w:hAnsi="Times New Roman" w:cs="Times New Roman"/>
          <w:sz w:val="24"/>
          <w:szCs w:val="24"/>
        </w:rPr>
        <w:t xml:space="preserve"> oil and gas development expands in this area, these new customer loads will exacerbate the identified reliability issues</w:t>
      </w:r>
      <w:r w:rsidR="003C79A8">
        <w:rPr>
          <w:rFonts w:ascii="Times New Roman" w:hAnsi="Times New Roman" w:cs="Times New Roman"/>
          <w:sz w:val="24"/>
          <w:szCs w:val="24"/>
        </w:rPr>
        <w:t xml:space="preserve">.  </w:t>
      </w:r>
    </w:p>
    <w:p w:rsidR="00FB3E0E" w:rsidRPr="00FB3E0E" w:rsidP="00FB3E0E" w14:paraId="0D5BA9E6" w14:textId="4468EA94">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FB3E0E">
        <w:rPr>
          <w:rFonts w:ascii="Times New Roman" w:hAnsi="Times New Roman" w:cs="Times New Roman"/>
          <w:sz w:val="24"/>
          <w:szCs w:val="24"/>
        </w:rPr>
        <w:t>ERCOT conducted an independent review of the Project in connection with its review of Oncor’s proposed Flat Iron – Barr Ranch – Pegasus South 138-kV Line Project</w:t>
      </w:r>
      <w:r>
        <w:rPr>
          <w:rStyle w:val="FootnoteReference"/>
          <w:rFonts w:ascii="Times New Roman" w:hAnsi="Times New Roman" w:cs="Times New Roman"/>
          <w:sz w:val="24"/>
          <w:szCs w:val="24"/>
        </w:rPr>
        <w:footnoteReference w:id="4"/>
      </w:r>
      <w:r w:rsidRPr="00FB3E0E">
        <w:rPr>
          <w:rFonts w:ascii="Times New Roman" w:hAnsi="Times New Roman" w:cs="Times New Roman"/>
          <w:sz w:val="24"/>
          <w:szCs w:val="24"/>
        </w:rPr>
        <w:t xml:space="preserve"> submittal to ERCOT’s Regional Planning Group (“RPG”) in June 2021.  Both Oncor’s and ERCOT’s steady state contingency analyses conducted through power flow studies show that thermal overloads and low voltage violations would occur under certain contingencies studied under North American Electric Reliability Corporation (NERC) Reliability Standard TPL-001-4.  Oncor’s steady-state assessment showed thermal overload reliability issues in post-contingency conditions for six area 138 kV lines and low voltage issues on ten area 138 kV load-serving substations along the same 138 kV line corridor.  ERCOT’s steady-state assessments in its subsequent independent review identified additional issues: these thermal overload and low voltage violations would occur under P1, P3, and P6-2 contingencies as described in ERCOT’s independent review, with nine area 138 kV lines overloading to between 100.0% and 147.9% of their thermal capacities and fourteen 138 kV substation buses experiencing unacceptably low voltages under the contingencies studied.</w:t>
      </w:r>
    </w:p>
    <w:p w:rsidR="00FB3E0E" w:rsidRPr="001A5D10" w:rsidP="00FB3E0E" w14:paraId="566FE5D4" w14:textId="5D641DF5">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FB3E0E">
        <w:rPr>
          <w:rFonts w:ascii="Times New Roman" w:hAnsi="Times New Roman" w:cs="Times New Roman"/>
          <w:sz w:val="24"/>
          <w:szCs w:val="24"/>
        </w:rPr>
        <w:t>The Project will address these reliability concerns by constructing new 138 kV lines (and upgrading an existing one) while ultimately connecting two 138 kV radial transmission line sections of the grid.  The overall projects endorsed by ERCOT, including th</w:t>
      </w:r>
      <w:r>
        <w:rPr>
          <w:rFonts w:ascii="Times New Roman" w:hAnsi="Times New Roman" w:cs="Times New Roman"/>
          <w:sz w:val="24"/>
          <w:szCs w:val="24"/>
        </w:rPr>
        <w:t>is</w:t>
      </w:r>
      <w:r w:rsidRPr="00FB3E0E">
        <w:rPr>
          <w:rFonts w:ascii="Times New Roman" w:hAnsi="Times New Roman" w:cs="Times New Roman"/>
          <w:sz w:val="24"/>
          <w:szCs w:val="24"/>
        </w:rPr>
        <w:t xml:space="preserve"> Project, will address the reliability criteria violations mentioned above while improving transmission capabilities by creating a more interconnected and networked transmission grid.  In addition, the Project would result in improvements such as increased operational flexibility during emergency conditions and the enhanced ability to connect new loads to the transmission system.</w:t>
      </w:r>
    </w:p>
    <w:p w:rsidR="001A5D10" w:rsidRPr="001A5D10" w:rsidP="00FB3E0E" w14:paraId="5114EC7E" w14:textId="2D3F79F4">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FB3E0E">
        <w:rPr>
          <w:rFonts w:ascii="Times New Roman" w:hAnsi="Times New Roman" w:cs="Times New Roman"/>
          <w:sz w:val="24"/>
          <w:szCs w:val="24"/>
        </w:rPr>
        <w:t xml:space="preserve">Through its independent review, ERCOT endorsed </w:t>
      </w:r>
      <w:r>
        <w:rPr>
          <w:rFonts w:ascii="Times New Roman" w:hAnsi="Times New Roman" w:cs="Times New Roman"/>
          <w:sz w:val="24"/>
          <w:szCs w:val="24"/>
        </w:rPr>
        <w:t>the Project</w:t>
      </w:r>
      <w:r w:rsidRPr="00FB3E0E">
        <w:rPr>
          <w:rFonts w:ascii="Times New Roman" w:hAnsi="Times New Roman" w:cs="Times New Roman"/>
          <w:sz w:val="24"/>
          <w:szCs w:val="24"/>
        </w:rPr>
        <w:t xml:space="preserve"> as a Tier 2 project that is critical to reliability of the ERCOT system. </w:t>
      </w:r>
      <w:r w:rsidR="00430E5A">
        <w:rPr>
          <w:rFonts w:ascii="Times New Roman" w:hAnsi="Times New Roman" w:cs="Times New Roman"/>
          <w:sz w:val="24"/>
          <w:szCs w:val="24"/>
        </w:rPr>
        <w:t xml:space="preserve"> Therefore, a critical reliability need exists for the Project</w:t>
      </w:r>
    </w:p>
    <w:p w:rsidR="009D4B01" w:rsidRPr="00696E7E" w:rsidP="00FD2939" w14:paraId="0BBAB6C1" w14:textId="07362946">
      <w:pPr>
        <w:pStyle w:val="ListParagraph"/>
        <w:numPr>
          <w:ilvl w:val="0"/>
          <w:numId w:val="3"/>
        </w:numPr>
        <w:autoSpaceDE w:val="0"/>
        <w:autoSpaceDN w:val="0"/>
        <w:adjustRightInd w:val="0"/>
        <w:spacing w:after="120" w:line="240" w:lineRule="auto"/>
        <w:jc w:val="both"/>
        <w:rPr>
          <w:rFonts w:ascii="Times New Roman" w:hAnsi="Times New Roman" w:cs="Times New Roman"/>
          <w:b/>
          <w:bCs/>
          <w:iCs/>
          <w:color w:val="auto"/>
          <w:sz w:val="28"/>
          <w:szCs w:val="24"/>
          <w:shd w:val="clear" w:color="auto" w:fill="auto"/>
        </w:rPr>
      </w:pPr>
      <w:r w:rsidRPr="00696E7E">
        <w:rPr>
          <w:rFonts w:ascii="Times New Roman" w:hAnsi="Times New Roman" w:cs="Times New Roman"/>
          <w:b/>
          <w:bCs/>
          <w:iCs/>
          <w:sz w:val="24"/>
        </w:rPr>
        <w:t xml:space="preserve">If such a need exists, is the proposed transmission </w:t>
      </w:r>
      <w:r w:rsidR="00696E7E">
        <w:rPr>
          <w:rFonts w:ascii="Times New Roman" w:hAnsi="Times New Roman" w:cs="Times New Roman"/>
          <w:b/>
          <w:bCs/>
          <w:iCs/>
          <w:sz w:val="24"/>
        </w:rPr>
        <w:t>line</w:t>
      </w:r>
      <w:r w:rsidRPr="00696E7E">
        <w:rPr>
          <w:rFonts w:ascii="Times New Roman" w:hAnsi="Times New Roman" w:cs="Times New Roman"/>
          <w:b/>
          <w:bCs/>
          <w:iCs/>
          <w:sz w:val="24"/>
        </w:rPr>
        <w:t xml:space="preserve"> the best option to meet the need, based on an analysis taking into account considerations of efficiency, reliability, costs, and benefits?</w:t>
      </w:r>
    </w:p>
    <w:p w:rsidR="00D7185A" w:rsidRPr="00D7185A" w:rsidP="00D7185A" w14:paraId="32B13096" w14:textId="14D73012">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C367DF">
        <w:rPr>
          <w:rFonts w:ascii="Times New Roman" w:hAnsi="Times New Roman" w:cs="Times New Roman"/>
          <w:sz w:val="24"/>
          <w:szCs w:val="24"/>
        </w:rPr>
        <w:t xml:space="preserve">Yes.  </w:t>
      </w:r>
      <w:r w:rsidRPr="00D7185A">
        <w:rPr>
          <w:rFonts w:ascii="Times New Roman" w:hAnsi="Times New Roman" w:cs="Times New Roman"/>
          <w:sz w:val="24"/>
          <w:szCs w:val="24"/>
        </w:rPr>
        <w:t xml:space="preserve">Due to the existing system configuration and remote location of the surrounding transmission lines, </w:t>
      </w:r>
      <w:r>
        <w:rPr>
          <w:rFonts w:ascii="Times New Roman" w:hAnsi="Times New Roman" w:cs="Times New Roman"/>
          <w:sz w:val="24"/>
          <w:szCs w:val="24"/>
        </w:rPr>
        <w:t>options to meet the Project need are limited.</w:t>
      </w:r>
      <w:r w:rsidRPr="00D7185A">
        <w:rPr>
          <w:rFonts w:ascii="Times New Roman" w:hAnsi="Times New Roman" w:cs="Times New Roman"/>
          <w:sz w:val="24"/>
          <w:szCs w:val="24"/>
        </w:rPr>
        <w:t xml:space="preserve"> </w:t>
      </w:r>
      <w:r>
        <w:rPr>
          <w:rFonts w:ascii="Times New Roman" w:hAnsi="Times New Roman" w:cs="Times New Roman"/>
          <w:sz w:val="24"/>
          <w:szCs w:val="24"/>
        </w:rPr>
        <w:t xml:space="preserve"> However, both Oncor and ERCOT evaluated </w:t>
      </w:r>
      <w:r w:rsidR="003C79A8">
        <w:rPr>
          <w:rFonts w:ascii="Times New Roman" w:hAnsi="Times New Roman" w:cs="Times New Roman"/>
          <w:sz w:val="24"/>
          <w:szCs w:val="24"/>
        </w:rPr>
        <w:t xml:space="preserve">various </w:t>
      </w:r>
      <w:r>
        <w:rPr>
          <w:rFonts w:ascii="Times New Roman" w:hAnsi="Times New Roman" w:cs="Times New Roman"/>
          <w:sz w:val="24"/>
          <w:szCs w:val="24"/>
        </w:rPr>
        <w:t>alternatives before selecting this Project as the best option to meet the identified need.</w:t>
      </w:r>
    </w:p>
    <w:p w:rsidR="00D7185A" w:rsidRPr="00D7185A" w:rsidP="00D7185A" w14:paraId="223DCAD4" w14:textId="3FCB9386">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D7185A">
        <w:rPr>
          <w:rFonts w:ascii="Times New Roman" w:hAnsi="Times New Roman" w:cs="Times New Roman"/>
          <w:sz w:val="24"/>
          <w:szCs w:val="24"/>
        </w:rPr>
        <w:t xml:space="preserve">Instead of constructing a new line, Oncor considered rebuilding the various 138 kV transmission lines that experienced thermal exceedances.  This alternative would have required rebuilding </w:t>
      </w:r>
      <w:r w:rsidR="00430E5A">
        <w:rPr>
          <w:rFonts w:ascii="Times New Roman" w:hAnsi="Times New Roman" w:cs="Times New Roman"/>
          <w:sz w:val="24"/>
          <w:szCs w:val="24"/>
        </w:rPr>
        <w:t>multiple existing 138 kV transmission line segments</w:t>
      </w:r>
      <w:r w:rsidRPr="00D7185A">
        <w:rPr>
          <w:rFonts w:ascii="Times New Roman" w:hAnsi="Times New Roman" w:cs="Times New Roman"/>
          <w:sz w:val="24"/>
          <w:szCs w:val="24"/>
        </w:rPr>
        <w:t xml:space="preserve"> cumulatively totaling over 46 miles.  Oncor determined this to be an inferior solution because it was more expensive, only addressed the thermal overloading issues in the area, and required a longer and more invasive construction process.  Additionally, this alternative would not address the voltage and power quality issues in the area, would not increase system reliability under contingency conditions, and would not provide a network solution to reduce customer exposure to normal outage scenarios due to radial load connections.</w:t>
      </w:r>
    </w:p>
    <w:p w:rsidR="00221043" w:rsidRPr="00221043" w:rsidP="00221043" w14:paraId="5B6885FE" w14:textId="7A98102C">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Pr>
          <w:rFonts w:ascii="Times New Roman" w:hAnsi="Times New Roman" w:cs="Times New Roman"/>
          <w:sz w:val="24"/>
          <w:szCs w:val="24"/>
        </w:rPr>
        <w:t xml:space="preserve">In its independent review, </w:t>
      </w:r>
      <w:r w:rsidRPr="00221043">
        <w:rPr>
          <w:rFonts w:ascii="Times New Roman" w:hAnsi="Times New Roman" w:cs="Times New Roman"/>
          <w:sz w:val="24"/>
          <w:szCs w:val="24"/>
        </w:rPr>
        <w:t xml:space="preserve">ERCOT developed and evaluated four options to resolve the violations discovered in its analysis.  Each of the four options included a new 138 kV transmission line between Flat Iron and Barr Ranch as well as a new 138 kV transmission line from </w:t>
      </w:r>
      <w:r w:rsidR="00140AD1">
        <w:rPr>
          <w:rFonts w:ascii="Times New Roman" w:hAnsi="Times New Roman" w:cs="Times New Roman"/>
          <w:sz w:val="24"/>
          <w:szCs w:val="24"/>
        </w:rPr>
        <w:t xml:space="preserve">Quickriver </w:t>
      </w:r>
      <w:r w:rsidR="00140AD1">
        <w:rPr>
          <w:rFonts w:ascii="Times New Roman" w:hAnsi="Times New Roman" w:cs="Times New Roman"/>
          <w:sz w:val="24"/>
          <w:szCs w:val="24"/>
        </w:rPr>
        <w:t>Tap (f/k/a Pegasus South)</w:t>
      </w:r>
      <w:r w:rsidRPr="00221043">
        <w:rPr>
          <w:rFonts w:ascii="Times New Roman" w:hAnsi="Times New Roman" w:cs="Times New Roman"/>
          <w:sz w:val="24"/>
          <w:szCs w:val="24"/>
        </w:rPr>
        <w:t xml:space="preserve"> to ONC90025_TAP.</w:t>
      </w:r>
      <w:r>
        <w:rPr>
          <w:rStyle w:val="FootnoteReference"/>
          <w:rFonts w:ascii="Times New Roman" w:hAnsi="Times New Roman" w:cs="Times New Roman"/>
          <w:sz w:val="24"/>
          <w:szCs w:val="24"/>
        </w:rPr>
        <w:footnoteReference w:id="5"/>
      </w:r>
      <w:r w:rsidRPr="00221043">
        <w:rPr>
          <w:rFonts w:ascii="Times New Roman" w:hAnsi="Times New Roman" w:cs="Times New Roman"/>
          <w:sz w:val="24"/>
          <w:szCs w:val="24"/>
        </w:rPr>
        <w:t xml:space="preserve">   In addition to those two common features, ERCOT’s four studied options also included the following unique features:</w:t>
      </w:r>
    </w:p>
    <w:p w:rsidR="00221043" w:rsidRPr="00221043" w:rsidP="00221043" w14:paraId="53E9581C" w14:textId="77777777">
      <w:pPr>
        <w:numPr>
          <w:ilvl w:val="0"/>
          <w:numId w:val="5"/>
        </w:numPr>
        <w:autoSpaceDE w:val="0"/>
        <w:autoSpaceDN w:val="0"/>
        <w:adjustRightInd w:val="0"/>
        <w:spacing w:after="0" w:line="360" w:lineRule="auto"/>
        <w:jc w:val="both"/>
        <w:rPr>
          <w:rFonts w:ascii="Times New Roman" w:hAnsi="Times New Roman" w:cs="Times New Roman"/>
          <w:color w:val="auto"/>
          <w:sz w:val="24"/>
          <w:szCs w:val="24"/>
          <w:shd w:val="clear" w:color="auto" w:fill="auto"/>
        </w:rPr>
      </w:pPr>
      <w:r w:rsidRPr="00221043">
        <w:rPr>
          <w:rFonts w:ascii="Times New Roman" w:hAnsi="Times New Roman" w:cs="Times New Roman"/>
          <w:sz w:val="24"/>
          <w:szCs w:val="24"/>
        </w:rPr>
        <w:t>Option 1 involved upgrading approximately 52.3 miles of 138 kV lines.  The estimated cost of this option was $135.9 million.</w:t>
      </w:r>
    </w:p>
    <w:p w:rsidR="00221043" w:rsidRPr="00221043" w:rsidP="00221043" w14:paraId="39E60729" w14:textId="4F00A2D1">
      <w:pPr>
        <w:numPr>
          <w:ilvl w:val="0"/>
          <w:numId w:val="5"/>
        </w:numPr>
        <w:autoSpaceDE w:val="0"/>
        <w:autoSpaceDN w:val="0"/>
        <w:adjustRightInd w:val="0"/>
        <w:spacing w:after="0" w:line="360" w:lineRule="auto"/>
        <w:jc w:val="both"/>
        <w:rPr>
          <w:rFonts w:ascii="Times New Roman" w:hAnsi="Times New Roman" w:cs="Times New Roman"/>
          <w:color w:val="auto"/>
          <w:sz w:val="24"/>
          <w:szCs w:val="24"/>
          <w:shd w:val="clear" w:color="auto" w:fill="auto"/>
        </w:rPr>
      </w:pPr>
      <w:r w:rsidRPr="00221043">
        <w:rPr>
          <w:rFonts w:ascii="Times New Roman" w:hAnsi="Times New Roman" w:cs="Times New Roman"/>
          <w:sz w:val="24"/>
          <w:szCs w:val="24"/>
        </w:rPr>
        <w:t xml:space="preserve">Option 2 involved building a new 138 kV transmission line from Barr Ranch to ONC90025_TAP as well as upgrading the </w:t>
      </w:r>
      <w:r w:rsidR="00140AD1">
        <w:rPr>
          <w:rFonts w:ascii="Times New Roman" w:hAnsi="Times New Roman" w:cs="Times New Roman"/>
          <w:sz w:val="24"/>
          <w:szCs w:val="24"/>
        </w:rPr>
        <w:t>Quickriver Tap (f/k/a Pegasus South)</w:t>
      </w:r>
      <w:r w:rsidRPr="00221043">
        <w:rPr>
          <w:rFonts w:ascii="Times New Roman" w:hAnsi="Times New Roman" w:cs="Times New Roman"/>
          <w:sz w:val="24"/>
          <w:szCs w:val="24"/>
        </w:rPr>
        <w:t xml:space="preserve"> to Pleasant Farm 138 kV line.  The estimated cost of this option was $54.6 million.</w:t>
      </w:r>
    </w:p>
    <w:p w:rsidR="00221043" w:rsidRPr="00221043" w:rsidP="00221043" w14:paraId="48AD7354" w14:textId="3ACE2F23">
      <w:pPr>
        <w:numPr>
          <w:ilvl w:val="0"/>
          <w:numId w:val="5"/>
        </w:numPr>
        <w:autoSpaceDE w:val="0"/>
        <w:autoSpaceDN w:val="0"/>
        <w:adjustRightInd w:val="0"/>
        <w:spacing w:after="0" w:line="360" w:lineRule="auto"/>
        <w:jc w:val="both"/>
        <w:rPr>
          <w:rFonts w:ascii="Times New Roman" w:hAnsi="Times New Roman" w:cs="Times New Roman"/>
          <w:color w:val="auto"/>
          <w:sz w:val="24"/>
          <w:szCs w:val="24"/>
          <w:shd w:val="clear" w:color="auto" w:fill="auto"/>
        </w:rPr>
      </w:pPr>
      <w:r w:rsidRPr="00221043">
        <w:rPr>
          <w:rFonts w:ascii="Times New Roman" w:hAnsi="Times New Roman" w:cs="Times New Roman"/>
          <w:sz w:val="24"/>
          <w:szCs w:val="24"/>
        </w:rPr>
        <w:t xml:space="preserve">Option 3 involved building a new 138 kV transmission line from Skywest to </w:t>
      </w:r>
      <w:r w:rsidR="00430E5A">
        <w:rPr>
          <w:rFonts w:ascii="Times New Roman" w:hAnsi="Times New Roman" w:cs="Times New Roman"/>
          <w:sz w:val="24"/>
          <w:szCs w:val="24"/>
        </w:rPr>
        <w:t xml:space="preserve">the </w:t>
      </w:r>
      <w:r w:rsidRPr="00221043">
        <w:rPr>
          <w:rFonts w:ascii="Times New Roman" w:hAnsi="Times New Roman" w:cs="Times New Roman"/>
          <w:sz w:val="24"/>
          <w:szCs w:val="24"/>
        </w:rPr>
        <w:t>Johnson Draw Point-of-Delivery (POD).  The estimated cost of this option was $43 million.</w:t>
      </w:r>
    </w:p>
    <w:p w:rsidR="00221043" w:rsidP="00221043" w14:paraId="412E49A3" w14:textId="12740220">
      <w:pPr>
        <w:numPr>
          <w:ilvl w:val="0"/>
          <w:numId w:val="5"/>
        </w:numPr>
        <w:autoSpaceDE w:val="0"/>
        <w:autoSpaceDN w:val="0"/>
        <w:adjustRightInd w:val="0"/>
        <w:spacing w:after="0" w:line="360" w:lineRule="auto"/>
        <w:jc w:val="both"/>
        <w:rPr>
          <w:rFonts w:ascii="Times New Roman" w:hAnsi="Times New Roman" w:cs="Times New Roman"/>
          <w:color w:val="auto"/>
          <w:sz w:val="24"/>
          <w:szCs w:val="24"/>
          <w:shd w:val="clear" w:color="auto" w:fill="auto"/>
        </w:rPr>
      </w:pPr>
      <w:r w:rsidRPr="00221043">
        <w:rPr>
          <w:rFonts w:ascii="Times New Roman" w:hAnsi="Times New Roman" w:cs="Times New Roman"/>
          <w:sz w:val="24"/>
          <w:szCs w:val="24"/>
        </w:rPr>
        <w:t>Option 4 involved combining together the projects recommended in both Options 2 and 3.  The estimated cost of this option was $63.1 million.</w:t>
      </w:r>
    </w:p>
    <w:p w:rsidR="00221043" w:rsidRPr="00221043" w:rsidP="00221043" w14:paraId="74D40C45" w14:textId="4C11CCE0">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221043">
        <w:rPr>
          <w:rFonts w:ascii="Times New Roman" w:hAnsi="Times New Roman" w:cs="Times New Roman"/>
          <w:sz w:val="24"/>
          <w:szCs w:val="24"/>
        </w:rPr>
        <w:t>Option 1 was the most expensive option, would not improve operational flexibility, and would continue to serve existing large loads radially.  Option 2, while providing networked service to</w:t>
      </w:r>
      <w:r>
        <w:rPr>
          <w:rFonts w:ascii="Times New Roman" w:hAnsi="Times New Roman" w:cs="Times New Roman"/>
          <w:sz w:val="24"/>
          <w:szCs w:val="24"/>
        </w:rPr>
        <w:t xml:space="preserve"> accommodate</w:t>
      </w:r>
      <w:r w:rsidRPr="00221043">
        <w:rPr>
          <w:rFonts w:ascii="Times New Roman" w:hAnsi="Times New Roman" w:cs="Times New Roman"/>
          <w:sz w:val="24"/>
          <w:szCs w:val="24"/>
        </w:rPr>
        <w:t xml:space="preserve"> existing </w:t>
      </w:r>
      <w:r>
        <w:rPr>
          <w:rFonts w:ascii="Times New Roman" w:hAnsi="Times New Roman" w:cs="Times New Roman"/>
          <w:sz w:val="24"/>
          <w:szCs w:val="24"/>
        </w:rPr>
        <w:t>and</w:t>
      </w:r>
      <w:r w:rsidRPr="00221043">
        <w:rPr>
          <w:rFonts w:ascii="Times New Roman" w:hAnsi="Times New Roman" w:cs="Times New Roman"/>
          <w:sz w:val="24"/>
          <w:szCs w:val="24"/>
        </w:rPr>
        <w:t xml:space="preserve"> future load growth, would not improve operational flexibility.  While Option 3 would provide operational flexibility, it would still serve existing large loads radially.  ERCOT determined that Option 4, as a combination of Options 2 and 3, would provide the best performance, including operational flexibility, networked service, and the ability to better serve future load growth in the area. </w:t>
      </w:r>
    </w:p>
    <w:p w:rsidR="002C38F1" w:rsidP="0061076E" w14:paraId="7C5D51CE" w14:textId="3034FAA3">
      <w:pPr>
        <w:pStyle w:val="ListParagraph"/>
        <w:numPr>
          <w:ilvl w:val="0"/>
          <w:numId w:val="3"/>
        </w:numPr>
        <w:autoSpaceDE w:val="0"/>
        <w:autoSpaceDN w:val="0"/>
        <w:adjustRightInd w:val="0"/>
        <w:spacing w:line="240" w:lineRule="auto"/>
        <w:jc w:val="both"/>
        <w:rPr>
          <w:rFonts w:ascii="Times New Roman" w:hAnsi="Times New Roman" w:cs="Times New Roman"/>
          <w:b/>
          <w:bCs/>
          <w:iCs/>
          <w:color w:val="auto"/>
          <w:sz w:val="24"/>
          <w:szCs w:val="24"/>
          <w:shd w:val="clear" w:color="auto" w:fill="auto"/>
        </w:rPr>
      </w:pPr>
      <w:r w:rsidRPr="002C38F1">
        <w:rPr>
          <w:rFonts w:ascii="Times New Roman" w:hAnsi="Times New Roman" w:cs="Times New Roman"/>
          <w:b/>
          <w:bCs/>
          <w:iCs/>
          <w:sz w:val="24"/>
          <w:szCs w:val="24"/>
        </w:rPr>
        <w:t>For utilities subject to the unbundling requirements of PURA § 39.051, is the proposed transmission line the best option when compared to employing distribution facilities to meet the specified need?</w:t>
      </w:r>
    </w:p>
    <w:p w:rsidR="002C38F1" w:rsidRPr="002C38F1" w:rsidP="002C38F1" w14:paraId="7B800FFC" w14:textId="66731A38">
      <w:pPr>
        <w:autoSpaceDE w:val="0"/>
        <w:autoSpaceDN w:val="0"/>
        <w:adjustRightInd w:val="0"/>
        <w:spacing w:after="0" w:line="360" w:lineRule="auto"/>
        <w:ind w:firstLine="720"/>
        <w:jc w:val="both"/>
        <w:rPr>
          <w:rFonts w:ascii="Times New Roman" w:hAnsi="Times New Roman" w:cs="Times New Roman"/>
          <w:color w:val="auto"/>
          <w:sz w:val="24"/>
          <w:szCs w:val="24"/>
          <w:shd w:val="clear" w:color="auto" w:fill="auto"/>
        </w:rPr>
      </w:pPr>
      <w:r w:rsidRPr="002C38F1">
        <w:rPr>
          <w:rFonts w:ascii="Times New Roman" w:hAnsi="Times New Roman" w:cs="Times New Roman"/>
          <w:sz w:val="24"/>
          <w:szCs w:val="24"/>
        </w:rPr>
        <w:t xml:space="preserve">Yes.  Distribution alternatives are not practical alternatives to the Project because they would not improve the reliability and operational capability of the transmission system in the area, cannot adequately serve all of the increasing oil and gas load, and cannot meet power quality requirements in this remote area of West Texas. </w:t>
      </w:r>
      <w:r w:rsidR="00EB62B7">
        <w:rPr>
          <w:rFonts w:ascii="Times New Roman" w:hAnsi="Times New Roman" w:cs="Times New Roman"/>
          <w:sz w:val="24"/>
          <w:szCs w:val="24"/>
        </w:rPr>
        <w:t xml:space="preserve"> Similarly, upgrading the voltage of existing facilities, bundling of conductors, and adding transformers would not resolve the reliability issues the Project is intended to address.  Likewise, </w:t>
      </w:r>
      <w:r w:rsidRPr="00ED7778" w:rsidR="00ED7778">
        <w:rPr>
          <w:rFonts w:ascii="Times New Roman" w:hAnsi="Times New Roman" w:cs="Times New Roman"/>
          <w:sz w:val="24"/>
          <w:szCs w:val="24"/>
        </w:rPr>
        <w:t>these alternatives would not provide the necessary level of service to meet oil and gas customers’ needs nor would they improve the radial nature of the transmission system serving many of these loads</w:t>
      </w:r>
      <w:r w:rsidR="00ED7778">
        <w:rPr>
          <w:rFonts w:ascii="Times New Roman" w:hAnsi="Times New Roman" w:cs="Times New Roman"/>
          <w:sz w:val="24"/>
          <w:szCs w:val="24"/>
        </w:rPr>
        <w:t>.</w:t>
      </w:r>
    </w:p>
    <w:p w:rsidR="009D4B01" w:rsidRPr="00696E7E" w:rsidP="0061076E" w14:paraId="27FF66E0" w14:textId="38C86F29">
      <w:pPr>
        <w:pStyle w:val="ListParagraph"/>
        <w:numPr>
          <w:ilvl w:val="0"/>
          <w:numId w:val="3"/>
        </w:numPr>
        <w:autoSpaceDE w:val="0"/>
        <w:autoSpaceDN w:val="0"/>
        <w:adjustRightInd w:val="0"/>
        <w:spacing w:line="240" w:lineRule="auto"/>
        <w:jc w:val="both"/>
        <w:rPr>
          <w:rFonts w:ascii="Times New Roman" w:hAnsi="Times New Roman" w:cs="Times New Roman"/>
          <w:b/>
          <w:bCs/>
          <w:iCs/>
          <w:color w:val="auto"/>
          <w:sz w:val="28"/>
          <w:szCs w:val="24"/>
          <w:shd w:val="clear" w:color="auto" w:fill="auto"/>
        </w:rPr>
      </w:pPr>
      <w:r w:rsidRPr="00696E7E">
        <w:rPr>
          <w:rFonts w:ascii="Times New Roman" w:hAnsi="Times New Roman" w:cs="Times New Roman"/>
          <w:b/>
          <w:bCs/>
          <w:iCs/>
          <w:sz w:val="24"/>
        </w:rPr>
        <w:t xml:space="preserve">For utilities not subject to the unbundling requirements of PURA § 39.051, is the proposed transmission </w:t>
      </w:r>
      <w:r w:rsidR="00696E7E">
        <w:rPr>
          <w:rFonts w:ascii="Times New Roman" w:hAnsi="Times New Roman" w:cs="Times New Roman"/>
          <w:b/>
          <w:bCs/>
          <w:iCs/>
          <w:sz w:val="24"/>
        </w:rPr>
        <w:t>line</w:t>
      </w:r>
      <w:r w:rsidRPr="00696E7E">
        <w:rPr>
          <w:rFonts w:ascii="Times New Roman" w:hAnsi="Times New Roman" w:cs="Times New Roman"/>
          <w:b/>
          <w:bCs/>
          <w:iCs/>
          <w:sz w:val="24"/>
        </w:rPr>
        <w:t xml:space="preserve"> the best option when compared to employing distribution facilities, distributed generation, and/or energy efficiency to meet the specified need?</w:t>
      </w:r>
    </w:p>
    <w:p w:rsidR="00C33D85" w:rsidRPr="00EE5486" w:rsidP="00EE5486" w14:paraId="3B2E5FCB" w14:textId="5E77910C">
      <w:pPr>
        <w:autoSpaceDE w:val="0"/>
        <w:autoSpaceDN w:val="0"/>
        <w:adjustRightInd w:val="0"/>
        <w:spacing w:after="0" w:line="480" w:lineRule="auto"/>
        <w:ind w:firstLine="720"/>
        <w:jc w:val="both"/>
        <w:rPr>
          <w:rFonts w:ascii="Times New Roman" w:hAnsi="Times New Roman" w:cs="Times New Roman"/>
          <w:color w:val="auto"/>
          <w:sz w:val="24"/>
          <w:szCs w:val="24"/>
          <w:shd w:val="clear" w:color="auto" w:fill="auto"/>
        </w:rPr>
      </w:pPr>
      <w:r w:rsidRPr="00C367DF">
        <w:rPr>
          <w:rFonts w:ascii="Times New Roman" w:hAnsi="Times New Roman" w:cs="Times New Roman"/>
          <w:sz w:val="24"/>
          <w:szCs w:val="24"/>
        </w:rPr>
        <w:t xml:space="preserve">Not applicable. </w:t>
      </w:r>
      <w:r>
        <w:rPr>
          <w:rFonts w:ascii="Times New Roman" w:hAnsi="Times New Roman" w:cs="Times New Roman"/>
          <w:sz w:val="24"/>
          <w:szCs w:val="24"/>
        </w:rPr>
        <w:t xml:space="preserve"> Oncor is</w:t>
      </w:r>
      <w:r w:rsidRPr="00C367DF">
        <w:rPr>
          <w:rFonts w:ascii="Times New Roman" w:hAnsi="Times New Roman" w:cs="Times New Roman"/>
          <w:sz w:val="24"/>
          <w:szCs w:val="24"/>
        </w:rPr>
        <w:t xml:space="preserve"> subject t</w:t>
      </w:r>
      <w:r>
        <w:rPr>
          <w:rFonts w:ascii="Times New Roman" w:hAnsi="Times New Roman" w:cs="Times New Roman"/>
          <w:sz w:val="24"/>
          <w:szCs w:val="24"/>
        </w:rPr>
        <w:t>o the unbundling requirements of PURA § </w:t>
      </w:r>
      <w:r w:rsidRPr="00C367DF">
        <w:rPr>
          <w:rFonts w:ascii="Times New Roman" w:hAnsi="Times New Roman" w:cs="Times New Roman"/>
          <w:sz w:val="24"/>
          <w:szCs w:val="24"/>
        </w:rPr>
        <w:t>39.051.</w:t>
      </w:r>
    </w:p>
    <w:p w:rsidR="00C31DDB" w:rsidP="000D028C" w14:paraId="69D5DE6A" w14:textId="77777777">
      <w:pPr>
        <w:spacing w:after="240" w:line="240" w:lineRule="auto"/>
        <w:ind w:left="4320"/>
        <w:jc w:val="both"/>
        <w:rPr>
          <w:rFonts w:ascii="Times" w:eastAsia="Calibri" w:hAnsi="Times" w:cs="Arial"/>
          <w:color w:val="auto"/>
          <w:sz w:val="24"/>
          <w:szCs w:val="24"/>
          <w:shd w:val="clear" w:color="auto" w:fill="auto"/>
        </w:rPr>
      </w:pPr>
    </w:p>
    <w:p w:rsidR="00C31DDB" w:rsidP="000D028C" w14:paraId="5A1B2CCB" w14:textId="77777777">
      <w:pPr>
        <w:spacing w:after="240" w:line="240" w:lineRule="auto"/>
        <w:ind w:left="4320"/>
        <w:jc w:val="both"/>
        <w:rPr>
          <w:rFonts w:ascii="Times" w:eastAsia="Calibri" w:hAnsi="Times" w:cs="Arial"/>
          <w:color w:val="auto"/>
          <w:sz w:val="24"/>
          <w:szCs w:val="24"/>
          <w:shd w:val="clear" w:color="auto" w:fill="auto"/>
        </w:rPr>
      </w:pPr>
    </w:p>
    <w:p w:rsidR="00C31DDB" w:rsidP="000D028C" w14:paraId="0B0D1098" w14:textId="77777777">
      <w:pPr>
        <w:spacing w:after="240" w:line="240" w:lineRule="auto"/>
        <w:ind w:left="4320"/>
        <w:jc w:val="both"/>
        <w:rPr>
          <w:rFonts w:ascii="Times" w:eastAsia="Calibri" w:hAnsi="Times" w:cs="Arial"/>
          <w:color w:val="auto"/>
          <w:sz w:val="24"/>
          <w:szCs w:val="24"/>
          <w:shd w:val="clear" w:color="auto" w:fill="auto"/>
        </w:rPr>
      </w:pPr>
    </w:p>
    <w:p w:rsidR="000D028C" w:rsidRPr="000D028C" w:rsidP="000D028C" w14:paraId="75AB9F38" w14:textId="5F924FD2">
      <w:pPr>
        <w:spacing w:after="240" w:line="240" w:lineRule="auto"/>
        <w:ind w:left="4320"/>
        <w:jc w:val="both"/>
        <w:rPr>
          <w:rFonts w:ascii="Times New Roman" w:eastAsia="Calibri" w:hAnsi="Times New Roman" w:cs="Arial"/>
          <w:smallCaps/>
          <w:color w:val="auto"/>
          <w:sz w:val="24"/>
          <w:szCs w:val="24"/>
          <w:shd w:val="clear" w:color="auto" w:fill="auto"/>
        </w:rPr>
      </w:pPr>
      <w:r w:rsidRPr="000D028C">
        <w:rPr>
          <w:rFonts w:ascii="Times" w:eastAsia="Calibri" w:hAnsi="Times" w:cs="Arial"/>
          <w:sz w:val="24"/>
          <w:szCs w:val="24"/>
        </w:rPr>
        <w:t>Respectfully submitted</w:t>
      </w:r>
      <w:r w:rsidRPr="000D028C">
        <w:rPr>
          <w:rFonts w:ascii="Times New Roman" w:eastAsia="Calibri" w:hAnsi="Times New Roman" w:cs="Arial"/>
          <w:smallCaps/>
          <w:sz w:val="24"/>
          <w:szCs w:val="24"/>
        </w:rPr>
        <w:t>,</w:t>
      </w:r>
    </w:p>
    <w:p w:rsidR="000D028C" w:rsidRPr="000D028C" w:rsidP="000D028C" w14:paraId="54082991" w14:textId="77777777">
      <w:pPr>
        <w:spacing w:after="0" w:line="240" w:lineRule="auto"/>
        <w:ind w:left="4320"/>
        <w:jc w:val="both"/>
        <w:rPr>
          <w:rFonts w:ascii="Times New Roman" w:eastAsia="Calibri" w:hAnsi="Times New Roman" w:cs="Arial"/>
          <w:color w:val="auto"/>
          <w:sz w:val="24"/>
          <w:szCs w:val="24"/>
          <w:shd w:val="clear" w:color="auto" w:fill="auto"/>
        </w:rPr>
      </w:pPr>
    </w:p>
    <w:p w:rsidR="000D028C" w:rsidRPr="00EF6F53" w:rsidP="000D028C" w14:paraId="582F9430" w14:textId="6F2C07F2">
      <w:pPr>
        <w:tabs>
          <w:tab w:val="left" w:pos="4320"/>
        </w:tabs>
        <w:spacing w:after="120" w:line="240" w:lineRule="auto"/>
        <w:ind w:left="2880" w:firstLine="360"/>
        <w:rPr>
          <w:rFonts w:ascii="Times New Roman" w:eastAsia="Calibri" w:hAnsi="Times New Roman" w:cs="Arial"/>
          <w:i/>
          <w:color w:val="auto"/>
          <w:sz w:val="24"/>
          <w:szCs w:val="24"/>
          <w:u w:val="single"/>
          <w:shd w:val="clear" w:color="auto" w:fill="auto"/>
        </w:rPr>
      </w:pPr>
      <w:r w:rsidRPr="000D028C">
        <w:rPr>
          <w:rFonts w:ascii="Times New Roman" w:eastAsia="Calibri" w:hAnsi="Times New Roman" w:cs="Arial"/>
          <w:sz w:val="24"/>
          <w:szCs w:val="24"/>
        </w:rPr>
        <w:tab/>
        <w:t xml:space="preserve">By: </w:t>
      </w:r>
      <w:r w:rsidR="00EF6F53">
        <w:rPr>
          <w:rFonts w:ascii="Times New Roman" w:eastAsia="Calibri" w:hAnsi="Times New Roman" w:cs="Arial"/>
          <w:i/>
          <w:sz w:val="24"/>
          <w:szCs w:val="24"/>
          <w:u w:val="single"/>
        </w:rPr>
        <w:t>/s/ Jared M. Jones</w:t>
      </w:r>
      <w:r w:rsidR="00EF6F53">
        <w:rPr>
          <w:rFonts w:ascii="Times New Roman" w:eastAsia="Calibri" w:hAnsi="Times New Roman" w:cs="Arial"/>
          <w:i/>
          <w:sz w:val="24"/>
          <w:szCs w:val="24"/>
          <w:u w:val="single"/>
        </w:rPr>
        <w:tab/>
      </w:r>
      <w:r w:rsidR="00EF6F53">
        <w:rPr>
          <w:rFonts w:ascii="Times New Roman" w:eastAsia="Calibri" w:hAnsi="Times New Roman" w:cs="Arial"/>
          <w:i/>
          <w:sz w:val="24"/>
          <w:szCs w:val="24"/>
          <w:u w:val="single"/>
        </w:rPr>
        <w:tab/>
      </w:r>
      <w:r w:rsidR="00EF6F53">
        <w:rPr>
          <w:rFonts w:ascii="Times New Roman" w:eastAsia="Calibri" w:hAnsi="Times New Roman" w:cs="Arial"/>
          <w:i/>
          <w:sz w:val="24"/>
          <w:szCs w:val="24"/>
          <w:u w:val="single"/>
        </w:rPr>
        <w:tab/>
      </w:r>
    </w:p>
    <w:p w:rsidR="000D028C" w:rsidRPr="000D028C" w:rsidP="000D028C" w14:paraId="3454E096" w14:textId="77777777">
      <w:pPr>
        <w:spacing w:after="0" w:line="240" w:lineRule="auto"/>
        <w:ind w:left="4770"/>
        <w:jc w:val="both"/>
        <w:rPr>
          <w:rFonts w:ascii="Times New Roman" w:eastAsia="Calibri" w:hAnsi="Times New Roman" w:cs="Arial"/>
          <w:color w:val="auto"/>
          <w:sz w:val="24"/>
          <w:szCs w:val="24"/>
          <w:shd w:val="clear" w:color="auto" w:fill="auto"/>
        </w:rPr>
      </w:pPr>
    </w:p>
    <w:p w:rsidR="000D028C" w:rsidRPr="000D028C" w:rsidP="000D028C" w14:paraId="3738AA97" w14:textId="77777777">
      <w:pPr>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Jaren A. Taylor</w:t>
      </w:r>
    </w:p>
    <w:p w:rsidR="000D028C" w:rsidRPr="000D028C" w:rsidP="000D028C" w14:paraId="13F5435E" w14:textId="77777777">
      <w:pPr>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State Bar No. 24059069</w:t>
      </w:r>
    </w:p>
    <w:p w:rsidR="000D028C" w:rsidRPr="000D028C" w:rsidP="000D028C" w14:paraId="43261ED3" w14:textId="77777777">
      <w:pPr>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Winston P. Skinner</w:t>
      </w:r>
    </w:p>
    <w:p w:rsidR="000D028C" w:rsidP="000D028C" w14:paraId="28796EE7" w14:textId="7FADDD4D">
      <w:pPr>
        <w:spacing w:after="0" w:line="240" w:lineRule="auto"/>
        <w:ind w:left="477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State Bar No. 24079348</w:t>
      </w:r>
    </w:p>
    <w:p w:rsidR="00C33D85" w:rsidP="000D028C" w14:paraId="4C0FE289" w14:textId="21D0DBE8">
      <w:pPr>
        <w:spacing w:after="0" w:line="240" w:lineRule="auto"/>
        <w:ind w:left="4770"/>
        <w:jc w:val="both"/>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rPr>
        <w:t>Jared M. Jones</w:t>
      </w:r>
    </w:p>
    <w:p w:rsidR="00C33D85" w:rsidRPr="000D028C" w:rsidP="000D028C" w14:paraId="64911DC2" w14:textId="2D34A1E0">
      <w:pPr>
        <w:spacing w:after="0" w:line="240" w:lineRule="auto"/>
        <w:ind w:left="4770"/>
        <w:jc w:val="both"/>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rPr>
        <w:t>State Bar No. 24117474</w:t>
      </w:r>
    </w:p>
    <w:p w:rsidR="000D028C" w:rsidRPr="000D028C" w:rsidP="000D028C" w14:paraId="55A05D1F" w14:textId="77777777">
      <w:pPr>
        <w:spacing w:after="0" w:line="240" w:lineRule="auto"/>
        <w:ind w:left="4770"/>
        <w:jc w:val="both"/>
        <w:rPr>
          <w:rFonts w:ascii="Times New Roman" w:eastAsia="Calibri" w:hAnsi="Times New Roman" w:cs="Arial"/>
          <w:smallCaps/>
          <w:color w:val="auto"/>
          <w:sz w:val="24"/>
          <w:szCs w:val="24"/>
          <w:shd w:val="clear" w:color="auto" w:fill="auto"/>
        </w:rPr>
      </w:pPr>
      <w:r w:rsidRPr="000D028C">
        <w:rPr>
          <w:rFonts w:ascii="Times New Roman" w:eastAsia="Calibri" w:hAnsi="Times New Roman" w:cs="Arial"/>
          <w:smallCaps/>
          <w:sz w:val="24"/>
          <w:szCs w:val="24"/>
        </w:rPr>
        <w:t>Vinson &amp; Elkins LLP</w:t>
      </w:r>
    </w:p>
    <w:p w:rsidR="000D028C" w:rsidRPr="000D028C" w:rsidP="000D028C" w14:paraId="042159DD" w14:textId="3582C09E">
      <w:pPr>
        <w:tabs>
          <w:tab w:val="left" w:pos="3600"/>
        </w:tabs>
        <w:spacing w:after="0" w:line="240" w:lineRule="auto"/>
        <w:ind w:left="4770"/>
        <w:rPr>
          <w:rFonts w:ascii="Times New Roman" w:eastAsia="Calibri" w:hAnsi="Times New Roman" w:cs="Arial"/>
          <w:bCs/>
          <w:color w:val="auto"/>
          <w:sz w:val="24"/>
          <w:szCs w:val="24"/>
          <w:shd w:val="clear" w:color="auto" w:fill="auto"/>
        </w:rPr>
      </w:pPr>
      <w:r w:rsidRPr="000D028C">
        <w:rPr>
          <w:rFonts w:ascii="Times New Roman" w:eastAsia="Calibri" w:hAnsi="Times New Roman" w:cs="Arial"/>
          <w:bCs/>
          <w:sz w:val="24"/>
          <w:szCs w:val="24"/>
        </w:rPr>
        <w:t>Trammell Crow Center</w:t>
      </w:r>
      <w:r w:rsidRPr="000D028C">
        <w:rPr>
          <w:rFonts w:ascii="Times New Roman" w:eastAsia="Calibri" w:hAnsi="Times New Roman" w:cs="Arial"/>
          <w:bCs/>
          <w:sz w:val="24"/>
          <w:szCs w:val="24"/>
        </w:rPr>
        <w:br/>
        <w:t>2001 Ross Avenue, Suite 3</w:t>
      </w:r>
      <w:r w:rsidR="006A7C2A">
        <w:rPr>
          <w:rFonts w:ascii="Times New Roman" w:eastAsia="Calibri" w:hAnsi="Times New Roman" w:cs="Arial"/>
          <w:bCs/>
          <w:sz w:val="24"/>
          <w:szCs w:val="24"/>
        </w:rPr>
        <w:t>9</w:t>
      </w:r>
      <w:r w:rsidRPr="000D028C">
        <w:rPr>
          <w:rFonts w:ascii="Times New Roman" w:eastAsia="Calibri" w:hAnsi="Times New Roman" w:cs="Arial"/>
          <w:bCs/>
          <w:sz w:val="24"/>
          <w:szCs w:val="24"/>
        </w:rPr>
        <w:t>00</w:t>
      </w:r>
      <w:r w:rsidRPr="000D028C">
        <w:rPr>
          <w:rFonts w:ascii="Times New Roman" w:eastAsia="Calibri" w:hAnsi="Times New Roman" w:cs="Arial"/>
          <w:bCs/>
          <w:sz w:val="24"/>
          <w:szCs w:val="24"/>
        </w:rPr>
        <w:br/>
        <w:t>Dallas, Texas 75201-2975</w:t>
      </w:r>
    </w:p>
    <w:p w:rsidR="000D028C" w:rsidRPr="000D028C" w:rsidP="000D028C" w14:paraId="0E812078" w14:textId="77777777">
      <w:pPr>
        <w:tabs>
          <w:tab w:val="left" w:pos="3600"/>
        </w:tabs>
        <w:spacing w:after="0" w:line="240" w:lineRule="auto"/>
        <w:ind w:left="4770"/>
        <w:rPr>
          <w:rFonts w:ascii="Times New Roman" w:eastAsia="Calibri" w:hAnsi="Times New Roman" w:cs="Arial"/>
          <w:bCs/>
          <w:color w:val="auto"/>
          <w:sz w:val="24"/>
          <w:szCs w:val="24"/>
          <w:shd w:val="clear" w:color="auto" w:fill="auto"/>
        </w:rPr>
      </w:pPr>
      <w:r w:rsidRPr="000D028C">
        <w:rPr>
          <w:rFonts w:ascii="Times New Roman" w:eastAsia="Calibri" w:hAnsi="Times New Roman" w:cs="Arial"/>
          <w:bCs/>
          <w:sz w:val="24"/>
          <w:szCs w:val="24"/>
        </w:rPr>
        <w:t xml:space="preserve">Telephone:  (214) </w:t>
      </w:r>
      <w:r w:rsidRPr="000D028C">
        <w:rPr>
          <w:rFonts w:ascii="Times New Roman" w:eastAsia="Calibri" w:hAnsi="Times New Roman" w:cs="Arial"/>
          <w:sz w:val="24"/>
          <w:szCs w:val="24"/>
        </w:rPr>
        <w:t>220-7754</w:t>
      </w:r>
    </w:p>
    <w:p w:rsidR="000D028C" w:rsidRPr="000D028C" w:rsidP="000D028C" w14:paraId="0AC76361" w14:textId="77777777">
      <w:pPr>
        <w:tabs>
          <w:tab w:val="left" w:pos="3600"/>
        </w:tabs>
        <w:spacing w:after="0" w:line="240" w:lineRule="auto"/>
        <w:ind w:left="4770"/>
        <w:rPr>
          <w:rFonts w:ascii="Times New Roman" w:eastAsia="Calibri" w:hAnsi="Times New Roman" w:cs="Arial"/>
          <w:bCs/>
          <w:color w:val="auto"/>
          <w:sz w:val="24"/>
          <w:szCs w:val="24"/>
          <w:shd w:val="clear" w:color="auto" w:fill="auto"/>
        </w:rPr>
      </w:pPr>
      <w:r w:rsidRPr="000D028C">
        <w:rPr>
          <w:rFonts w:ascii="Times New Roman" w:eastAsia="Calibri" w:hAnsi="Times New Roman" w:cs="Arial"/>
          <w:bCs/>
          <w:sz w:val="24"/>
          <w:szCs w:val="24"/>
        </w:rPr>
        <w:t>Facsimile:  (214) 999-</w:t>
      </w:r>
      <w:r w:rsidRPr="000D028C">
        <w:rPr>
          <w:rFonts w:ascii="Times New Roman" w:eastAsia="Calibri" w:hAnsi="Times New Roman" w:cs="Arial"/>
          <w:sz w:val="24"/>
          <w:szCs w:val="24"/>
        </w:rPr>
        <w:t>7754</w:t>
      </w:r>
      <w:r w:rsidRPr="000D028C">
        <w:rPr>
          <w:rFonts w:ascii="Times New Roman" w:eastAsia="Calibri" w:hAnsi="Times New Roman" w:cs="Arial"/>
          <w:bCs/>
          <w:sz w:val="24"/>
          <w:szCs w:val="24"/>
        </w:rPr>
        <w:t xml:space="preserve"> </w:t>
      </w:r>
    </w:p>
    <w:p w:rsidR="000D028C" w:rsidRPr="000D028C" w:rsidP="000D028C" w14:paraId="1E3C342A" w14:textId="77777777">
      <w:pPr>
        <w:tabs>
          <w:tab w:val="left" w:pos="4770"/>
        </w:tabs>
        <w:spacing w:after="0" w:line="240" w:lineRule="auto"/>
        <w:ind w:left="360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t>jarentaylor@velaw.com</w:t>
      </w:r>
    </w:p>
    <w:p w:rsidR="00C33D85" w:rsidP="00C33D85" w14:paraId="06A7BE2E" w14:textId="35147DBF">
      <w:pPr>
        <w:tabs>
          <w:tab w:val="left" w:pos="4770"/>
        </w:tabs>
        <w:spacing w:after="0" w:line="240" w:lineRule="auto"/>
        <w:ind w:left="3600"/>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r>
      <w:r w:rsidRPr="000D028C">
        <w:rPr>
          <w:rFonts w:ascii="Times New Roman" w:eastAsia="Calibri" w:hAnsi="Times New Roman" w:cs="Arial"/>
          <w:sz w:val="24"/>
          <w:szCs w:val="24"/>
        </w:rPr>
        <w:t>wskinner@velaw.com</w:t>
      </w:r>
      <w:r>
        <w:rPr>
          <w:rFonts w:ascii="Times New Roman" w:eastAsia="Calibri" w:hAnsi="Times New Roman" w:cs="Arial"/>
          <w:sz w:val="24"/>
          <w:szCs w:val="24"/>
        </w:rPr>
        <w:t xml:space="preserve"> </w:t>
      </w:r>
    </w:p>
    <w:p w:rsidR="00C33D85" w:rsidRPr="000D028C" w:rsidP="00C33D85" w14:paraId="6D6CEBC3" w14:textId="6E28D02A">
      <w:pPr>
        <w:tabs>
          <w:tab w:val="left" w:pos="4770"/>
        </w:tabs>
        <w:spacing w:after="240" w:line="240" w:lineRule="auto"/>
        <w:ind w:left="3600"/>
        <w:jc w:val="both"/>
        <w:rPr>
          <w:rFonts w:ascii="Times New Roman" w:eastAsia="Calibri" w:hAnsi="Times New Roman" w:cs="Arial"/>
          <w:color w:val="auto"/>
          <w:sz w:val="24"/>
          <w:szCs w:val="24"/>
          <w:shd w:val="clear" w:color="auto" w:fill="auto"/>
        </w:rPr>
      </w:pPr>
      <w:r>
        <w:rPr>
          <w:rFonts w:ascii="Times New Roman" w:eastAsia="Calibri" w:hAnsi="Times New Roman" w:cs="Arial"/>
          <w:sz w:val="24"/>
          <w:szCs w:val="24"/>
        </w:rPr>
        <w:tab/>
        <w:t>jjones@velaw.com</w:t>
      </w:r>
    </w:p>
    <w:p w:rsidR="000D028C" w:rsidRPr="000D028C" w:rsidP="000D028C" w14:paraId="4376BDE7" w14:textId="77777777">
      <w:pPr>
        <w:tabs>
          <w:tab w:val="left" w:pos="4320"/>
        </w:tabs>
        <w:spacing w:after="240" w:line="240" w:lineRule="auto"/>
        <w:ind w:left="4320"/>
        <w:jc w:val="both"/>
        <w:rPr>
          <w:rFonts w:ascii="Times New Roman" w:eastAsia="Calibri" w:hAnsi="Times New Roman" w:cs="Arial"/>
          <w:b/>
          <w:color w:val="auto"/>
          <w:sz w:val="24"/>
          <w:szCs w:val="24"/>
          <w:shd w:val="clear" w:color="auto" w:fill="auto"/>
        </w:rPr>
      </w:pPr>
      <w:r w:rsidRPr="000D028C">
        <w:rPr>
          <w:rFonts w:ascii="Times New Roman" w:eastAsia="Calibri" w:hAnsi="Times New Roman" w:cs="Arial"/>
          <w:b/>
          <w:sz w:val="24"/>
          <w:szCs w:val="24"/>
        </w:rPr>
        <w:t>ATTORNEYS FOR ONCOR ELECTRIC DELIVERY COMPANY LLC</w:t>
      </w:r>
    </w:p>
    <w:p w:rsidR="000D028C" w:rsidRPr="000D028C" w:rsidP="000D028C" w14:paraId="3D601764" w14:textId="77777777">
      <w:pPr>
        <w:spacing w:after="0" w:line="240" w:lineRule="auto"/>
        <w:ind w:left="4320"/>
        <w:jc w:val="both"/>
        <w:rPr>
          <w:rFonts w:ascii="Times New Roman" w:eastAsia="Calibri" w:hAnsi="Times New Roman" w:cs="Arial"/>
          <w:color w:val="auto"/>
          <w:sz w:val="24"/>
          <w:szCs w:val="24"/>
          <w:shd w:val="clear" w:color="auto" w:fill="auto"/>
        </w:rPr>
      </w:pPr>
    </w:p>
    <w:p w:rsidR="000D028C" w:rsidRPr="000D028C" w:rsidP="000D028C" w14:paraId="2A6E3451" w14:textId="77777777">
      <w:pPr>
        <w:tabs>
          <w:tab w:val="left" w:pos="4320"/>
        </w:tabs>
        <w:spacing w:after="120" w:line="240" w:lineRule="auto"/>
        <w:ind w:left="2880" w:firstLine="360"/>
        <w:rPr>
          <w:rFonts w:ascii="Times New Roman" w:eastAsia="Calibri" w:hAnsi="Times New Roman" w:cs="Arial"/>
          <w:b/>
          <w:bCs/>
          <w:color w:val="auto"/>
          <w:sz w:val="24"/>
          <w:szCs w:val="24"/>
          <w:u w:val="single"/>
          <w:shd w:val="clear" w:color="auto" w:fill="auto"/>
        </w:rPr>
      </w:pPr>
      <w:r w:rsidRPr="000D028C">
        <w:rPr>
          <w:rFonts w:ascii="Times New Roman" w:eastAsia="Calibri" w:hAnsi="Times New Roman" w:cs="Arial"/>
          <w:sz w:val="24"/>
          <w:szCs w:val="24"/>
        </w:rPr>
        <w:tab/>
      </w:r>
    </w:p>
    <w:p w:rsidR="00641D44" w14:paraId="300FBC07" w14:textId="77777777">
      <w:pPr>
        <w:rPr>
          <w:rFonts w:ascii="Times New Roman" w:eastAsia="Calibri" w:hAnsi="Times New Roman" w:cs="Arial"/>
          <w:b/>
          <w:bCs/>
          <w:color w:val="auto"/>
          <w:sz w:val="24"/>
          <w:szCs w:val="24"/>
          <w:u w:val="single"/>
          <w:shd w:val="clear" w:color="auto" w:fill="auto"/>
        </w:rPr>
      </w:pPr>
      <w:r>
        <w:rPr>
          <w:rFonts w:ascii="Times New Roman" w:eastAsia="Calibri" w:hAnsi="Times New Roman" w:cs="Arial"/>
          <w:b/>
          <w:bCs/>
          <w:sz w:val="24"/>
          <w:szCs w:val="24"/>
          <w:u w:val="single"/>
        </w:rPr>
        <w:br w:type="page"/>
      </w:r>
    </w:p>
    <w:p w:rsidR="000D028C" w:rsidRPr="000D028C" w:rsidP="000D028C" w14:paraId="60D9CADC" w14:textId="08EABADF">
      <w:pPr>
        <w:keepNext/>
        <w:keepLines/>
        <w:spacing w:after="240" w:line="240" w:lineRule="auto"/>
        <w:jc w:val="center"/>
        <w:rPr>
          <w:rFonts w:ascii="Times New Roman" w:eastAsia="Calibri" w:hAnsi="Times New Roman" w:cs="Arial"/>
          <w:color w:val="auto"/>
          <w:sz w:val="24"/>
          <w:szCs w:val="24"/>
          <w:shd w:val="clear" w:color="auto" w:fill="auto"/>
        </w:rPr>
      </w:pPr>
      <w:r w:rsidRPr="000D028C">
        <w:rPr>
          <w:rFonts w:ascii="Times New Roman" w:eastAsia="Calibri" w:hAnsi="Times New Roman" w:cs="Arial"/>
          <w:b/>
          <w:bCs/>
          <w:sz w:val="24"/>
          <w:szCs w:val="24"/>
          <w:u w:val="single"/>
        </w:rPr>
        <w:t>CERTIFICATE OF SERVICE</w:t>
      </w:r>
    </w:p>
    <w:p w:rsidR="000D028C" w:rsidRPr="000D028C" w:rsidP="000D028C" w14:paraId="1E48460C" w14:textId="784002D6">
      <w:pPr>
        <w:widowControl w:val="0"/>
        <w:spacing w:after="120" w:line="240" w:lineRule="auto"/>
        <w:jc w:val="both"/>
        <w:rPr>
          <w:rFonts w:ascii="Times New Roman" w:eastAsia="Calibri" w:hAnsi="Times New Roman" w:cs="Arial"/>
          <w:color w:val="auto"/>
          <w:sz w:val="24"/>
          <w:szCs w:val="24"/>
          <w:shd w:val="clear" w:color="auto" w:fill="auto"/>
        </w:rPr>
      </w:pPr>
      <w:r w:rsidRPr="000D028C">
        <w:rPr>
          <w:rFonts w:ascii="Times New Roman" w:eastAsia="Calibri" w:hAnsi="Times New Roman" w:cs="Arial"/>
          <w:sz w:val="24"/>
          <w:szCs w:val="24"/>
        </w:rPr>
        <w:tab/>
        <w:t xml:space="preserve">It is hereby certified that a copy of the foregoing has been served by email on all parties of record who have provided an email address on </w:t>
      </w:r>
      <w:r w:rsidR="00D7185A">
        <w:rPr>
          <w:rFonts w:ascii="Times New Roman" w:eastAsia="Calibri" w:hAnsi="Times New Roman" w:cs="Arial"/>
          <w:sz w:val="24"/>
          <w:szCs w:val="24"/>
        </w:rPr>
        <w:t>May 12, 2022</w:t>
      </w:r>
      <w:r w:rsidRPr="000D028C">
        <w:rPr>
          <w:rFonts w:ascii="Times New Roman" w:eastAsia="Calibri" w:hAnsi="Times New Roman" w:cs="Arial"/>
          <w:sz w:val="24"/>
          <w:szCs w:val="24"/>
        </w:rPr>
        <w:t>, in accordance with the Commission’s Second Order Suspending Rules issued on July 16, 2020, in Project No. 50664.</w:t>
      </w:r>
    </w:p>
    <w:p w:rsidR="000D028C" w:rsidRPr="000D028C" w:rsidP="000D028C" w14:paraId="55B3F1F5" w14:textId="77777777">
      <w:pPr>
        <w:widowControl w:val="0"/>
        <w:spacing w:after="120" w:line="240" w:lineRule="auto"/>
        <w:jc w:val="both"/>
        <w:rPr>
          <w:rFonts w:ascii="Times New Roman" w:eastAsia="Calibri" w:hAnsi="Times New Roman" w:cs="Arial"/>
          <w:color w:val="auto"/>
          <w:sz w:val="24"/>
          <w:szCs w:val="24"/>
          <w:shd w:val="clear" w:color="auto" w:fill="auto"/>
        </w:rPr>
      </w:pPr>
    </w:p>
    <w:p w:rsidR="000D028C" w:rsidRPr="000D028C" w:rsidP="000D028C" w14:paraId="7356154C" w14:textId="77777777">
      <w:pPr>
        <w:widowControl w:val="0"/>
        <w:spacing w:after="120" w:line="240" w:lineRule="auto"/>
        <w:jc w:val="both"/>
        <w:rPr>
          <w:rFonts w:ascii="Times New Roman" w:eastAsia="Calibri" w:hAnsi="Times New Roman" w:cs="Arial"/>
          <w:color w:val="auto"/>
          <w:sz w:val="24"/>
          <w:szCs w:val="24"/>
          <w:shd w:val="clear" w:color="auto" w:fill="auto"/>
        </w:rPr>
      </w:pPr>
    </w:p>
    <w:p w:rsidR="007B2E7F" w:rsidRPr="00EF6F53" w:rsidP="00EE5486" w14:paraId="0110204C" w14:textId="0F49EE41">
      <w:pPr>
        <w:spacing w:after="240" w:line="240" w:lineRule="auto"/>
        <w:jc w:val="right"/>
        <w:rPr>
          <w:rFonts w:ascii="Times New Roman" w:eastAsia="Calibri" w:hAnsi="Times New Roman" w:cs="Arial"/>
          <w:i/>
          <w:color w:val="auto"/>
          <w:sz w:val="24"/>
          <w:szCs w:val="24"/>
          <w:u w:val="single"/>
          <w:shd w:val="clear" w:color="auto" w:fill="auto"/>
        </w:rPr>
      </w:pPr>
      <w:r w:rsidRPr="000D028C">
        <w:rPr>
          <w:rFonts w:ascii="Times New Roman" w:eastAsia="Calibri" w:hAnsi="Times New Roman" w:cs="Arial"/>
          <w:sz w:val="24"/>
          <w:szCs w:val="24"/>
        </w:rPr>
        <w:tab/>
      </w:r>
      <w:r w:rsidRPr="000D028C">
        <w:rPr>
          <w:rFonts w:ascii="Times New Roman" w:eastAsia="Calibri" w:hAnsi="Times New Roman" w:cs="Arial"/>
          <w:sz w:val="24"/>
          <w:szCs w:val="24"/>
        </w:rPr>
        <w:tab/>
      </w:r>
      <w:r w:rsidRPr="000D028C">
        <w:rPr>
          <w:rFonts w:ascii="Times New Roman" w:eastAsia="Calibri" w:hAnsi="Times New Roman" w:cs="Arial"/>
          <w:sz w:val="24"/>
          <w:szCs w:val="24"/>
        </w:rPr>
        <w:tab/>
      </w:r>
      <w:r w:rsidRPr="000D028C">
        <w:rPr>
          <w:rFonts w:ascii="Times New Roman" w:eastAsia="Calibri" w:hAnsi="Times New Roman" w:cs="Arial"/>
          <w:sz w:val="24"/>
          <w:szCs w:val="24"/>
        </w:rPr>
        <w:tab/>
      </w:r>
      <w:r w:rsidR="00EF6F53">
        <w:rPr>
          <w:rFonts w:ascii="Times New Roman" w:eastAsia="Calibri" w:hAnsi="Times New Roman" w:cs="Arial"/>
          <w:i/>
          <w:sz w:val="24"/>
          <w:szCs w:val="24"/>
          <w:u w:val="single"/>
        </w:rPr>
        <w:t>/s/ Michele M. Gibson</w:t>
      </w:r>
      <w:r w:rsidR="00EF6F53">
        <w:rPr>
          <w:rFonts w:ascii="Times New Roman" w:eastAsia="Calibri" w:hAnsi="Times New Roman" w:cs="Arial"/>
          <w:i/>
          <w:sz w:val="24"/>
          <w:szCs w:val="24"/>
          <w:u w:val="single"/>
        </w:rPr>
        <w:tab/>
      </w:r>
      <w:r w:rsidR="00EF6F53">
        <w:rPr>
          <w:rFonts w:ascii="Times New Roman" w:eastAsia="Calibri" w:hAnsi="Times New Roman" w:cs="Arial"/>
          <w:i/>
          <w:sz w:val="24"/>
          <w:szCs w:val="24"/>
          <w:u w:val="single"/>
        </w:rPr>
        <w:tab/>
      </w:r>
      <w:r w:rsidR="00EF6F53">
        <w:rPr>
          <w:rFonts w:ascii="Times New Roman" w:eastAsia="Calibri" w:hAnsi="Times New Roman" w:cs="Arial"/>
          <w:i/>
          <w:sz w:val="24"/>
          <w:szCs w:val="24"/>
          <w:u w:val="single"/>
        </w:rPr>
        <w:tab/>
      </w:r>
      <w:r w:rsidR="00EF6F53">
        <w:rPr>
          <w:rFonts w:ascii="Times New Roman" w:eastAsia="Calibri" w:hAnsi="Times New Roman" w:cs="Arial"/>
          <w:i/>
          <w:sz w:val="24"/>
          <w:szCs w:val="24"/>
          <w:u w:val="single"/>
        </w:rPr>
        <w:tab/>
      </w:r>
      <w:bookmarkStart w:id="1" w:name="_GoBack"/>
      <w:bookmarkEnd w:id="1"/>
    </w:p>
    <w:sectPr>
      <w:headerReference w:type="even" r:id="rId5"/>
      <w:headerReference w:type="default" r:id="rId6"/>
      <w:footerReference w:type="even" r:id="rId7"/>
      <w:footerReference w:type="default" r:id="rId8"/>
      <w:headerReference w:type="first" r:id="rId9"/>
      <w:footerReference w:type="first" r:id="rId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028C" w14:paraId="090C5AF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028C" w14:paraId="00F89E11" w14:textId="4CE099FE">
    <w:pPr>
      <w:pStyle w:val="Footer"/>
      <w:rPr>
        <w:color w:val="auto"/>
        <w:shd w:val="clear" w:color="auto" w:fill="auto"/>
      </w:rPr>
    </w:pPr>
    <w:r w:rsidRPr="000D028C">
      <w:rPr>
        <w:rFonts w:ascii="Times New Roman" w:eastAsia="Calibri" w:hAnsi="Times New Roman" w:cs="Arial"/>
        <w:b/>
        <w:smallCaps/>
        <w:u w:val="single"/>
      </w:rPr>
      <w:t>Oncor Electric Delivery Company LLC’s Response to Order No. 1</w:t>
    </w:r>
    <w:r w:rsidRPr="000D028C">
      <w:rPr>
        <w:rFonts w:ascii="Times New Roman" w:eastAsia="Calibri" w:hAnsi="Times New Roman" w:cs="Arial"/>
        <w:b/>
        <w:smallCaps/>
      </w:rPr>
      <w:t xml:space="preserve"> – Page </w:t>
    </w:r>
    <w:r w:rsidRPr="000D028C">
      <w:rPr>
        <w:rFonts w:ascii="Times New Roman" w:eastAsia="Calibri" w:hAnsi="Times New Roman" w:cs="Arial"/>
        <w:b/>
        <w:bCs/>
        <w:smallCaps/>
      </w:rPr>
      <w:fldChar w:fldCharType="begin"/>
    </w:r>
    <w:r w:rsidRPr="000D028C">
      <w:rPr>
        <w:rFonts w:ascii="Times New Roman" w:eastAsia="Calibri" w:hAnsi="Times New Roman" w:cs="Arial"/>
        <w:b/>
        <w:bCs/>
        <w:smallCaps/>
      </w:rPr>
      <w:instrText xml:space="preserve"> PAGE  \* Arabic  \* MERGEFORMAT </w:instrText>
    </w:r>
    <w:r w:rsidRPr="000D028C">
      <w:rPr>
        <w:rFonts w:ascii="Times New Roman" w:eastAsia="Calibri" w:hAnsi="Times New Roman" w:cs="Arial"/>
        <w:b/>
        <w:bCs/>
        <w:smallCaps/>
      </w:rPr>
      <w:fldChar w:fldCharType="separate"/>
    </w:r>
    <w:r w:rsidR="00EF6F53">
      <w:rPr>
        <w:rFonts w:ascii="Times New Roman" w:eastAsia="Calibri" w:hAnsi="Times New Roman" w:cs="Arial"/>
        <w:b/>
        <w:bCs/>
        <w:smallCaps/>
        <w:noProof/>
      </w:rPr>
      <w:t>6</w:t>
    </w:r>
    <w:r w:rsidRPr="000D028C">
      <w:rPr>
        <w:rFonts w:ascii="Times New Roman" w:eastAsia="Calibri" w:hAnsi="Times New Roman" w:cs="Arial"/>
        <w:b/>
        <w:bCs/>
        <w:smallCaps/>
      </w:rPr>
      <w:fldChar w:fldCharType="end"/>
    </w:r>
    <w:r w:rsidRPr="000D028C">
      <w:rPr>
        <w:rFonts w:ascii="Times New Roman" w:eastAsia="Calibri" w:hAnsi="Times New Roman" w:cs="Arial"/>
        <w:b/>
        <w:smallCaps/>
      </w:rPr>
      <w:t xml:space="preserve"> of </w:t>
    </w:r>
    <w:r w:rsidRPr="000D028C">
      <w:rPr>
        <w:rFonts w:ascii="Times New Roman" w:eastAsia="Calibri" w:hAnsi="Times New Roman" w:cs="Arial"/>
        <w:b/>
        <w:bCs/>
        <w:smallCaps/>
      </w:rPr>
      <w:fldChar w:fldCharType="begin"/>
    </w:r>
    <w:r w:rsidRPr="000D028C">
      <w:rPr>
        <w:rFonts w:ascii="Times New Roman" w:eastAsia="Calibri" w:hAnsi="Times New Roman" w:cs="Arial"/>
        <w:b/>
        <w:bCs/>
        <w:smallCaps/>
      </w:rPr>
      <w:instrText xml:space="preserve"> NUMPAGES  \* Arabic  \* MERGEFORMAT </w:instrText>
    </w:r>
    <w:r w:rsidRPr="000D028C">
      <w:rPr>
        <w:rFonts w:ascii="Times New Roman" w:eastAsia="Calibri" w:hAnsi="Times New Roman" w:cs="Arial"/>
        <w:b/>
        <w:bCs/>
        <w:smallCaps/>
      </w:rPr>
      <w:fldChar w:fldCharType="separate"/>
    </w:r>
    <w:r w:rsidR="00EF6F53">
      <w:rPr>
        <w:rFonts w:ascii="Times New Roman" w:eastAsia="Calibri" w:hAnsi="Times New Roman" w:cs="Arial"/>
        <w:b/>
        <w:bCs/>
        <w:smallCaps/>
        <w:noProof/>
      </w:rPr>
      <w:t>6</w:t>
    </w:r>
    <w:r w:rsidRPr="000D028C">
      <w:rPr>
        <w:rFonts w:ascii="Times New Roman" w:eastAsia="Calibri" w:hAnsi="Times New Roman" w:cs="Arial"/>
        <w:b/>
        <w:bCs/>
        <w:smallCaps/>
      </w:rPr>
      <w:fldChar w:fldCharType="end"/>
    </w:r>
  </w:p>
  <w:p w:rsidR="004E3922" w:rsidRPr="007B2E7F" w:rsidP="004E3922" w14:paraId="69BA1470" w14:textId="737D702C">
    <w:pPr>
      <w:pStyle w:val="Footer"/>
      <w:rPr>
        <w:color w:val="auto"/>
        <w:shd w:val="clear" w:color="auto" w:fill="au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028C" w14:paraId="20254D86" w14:textId="77777777">
    <w:pPr>
      <w:pStyle w:val="Footer"/>
      <w:rPr>
        <w:color w:val="auto"/>
        <w:shd w:val="clear" w:color="auto" w:fill="au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11217" w:rsidP="004B6CCC" w14:paraId="3F8EF81D" w14:textId="77777777">
      <w:pPr>
        <w:spacing w:after="0" w:line="240" w:lineRule="auto"/>
      </w:pPr>
      <w:r>
        <w:separator/>
      </w:r>
    </w:p>
  </w:footnote>
  <w:footnote w:type="continuationSeparator" w:id="1">
    <w:p w:rsidR="00711217" w:rsidP="004B6CCC" w14:paraId="79EB58DF" w14:textId="77777777">
      <w:pPr>
        <w:spacing w:after="0" w:line="240" w:lineRule="auto"/>
      </w:pPr>
      <w:r>
        <w:continuationSeparator/>
      </w:r>
    </w:p>
  </w:footnote>
  <w:footnote w:id="2">
    <w:p w:rsidR="0079318C" w:rsidP="003D58A8" w14:paraId="571508D1" w14:textId="6A16607B">
      <w:pPr>
        <w:pStyle w:val="FootnoteText"/>
        <w:spacing w:after="60"/>
        <w:jc w:val="both"/>
        <w:rPr>
          <w:color w:val="auto"/>
          <w:shd w:val="clear" w:color="auto" w:fill="auto"/>
        </w:rPr>
      </w:pPr>
      <w:r>
        <w:rPr>
          <w:rStyle w:val="FootnoteReference"/>
        </w:rPr>
        <w:footnoteRef/>
      </w:r>
      <w:r>
        <w:t xml:space="preserve"> </w:t>
      </w:r>
      <w:r>
        <w:rPr>
          <w:rFonts w:ascii="Times New Roman" w:hAnsi="Times New Roman" w:cs="Times New Roman"/>
        </w:rPr>
        <w:t>Order No. 1 states that, “[u]nder 16 Texas Administrative Code (TAC) § 25.101(b), the Commission must render a decision approving or denying the application for a CCN within one year of the date of filing a complete application for such certificate.”  However, 16 TAC § 25.101(b)(3)(D) requires the Commission to render a decision in 180 days for projects ERCOT has deemed critical to reliability.  This project has been deemed critical to reliability and is therefore subject to a 180-day approval timeline.</w:t>
      </w:r>
    </w:p>
  </w:footnote>
  <w:footnote w:id="3">
    <w:p w:rsidR="00BF1385" w:rsidRPr="00FD2939" w:rsidP="003D58A8" w14:paraId="5BAE7600" w14:textId="39BEB286">
      <w:pPr>
        <w:pStyle w:val="FootnoteText"/>
        <w:spacing w:after="60"/>
        <w:rPr>
          <w:rFonts w:ascii="Times New Roman" w:hAnsi="Times New Roman" w:cs="Times New Roman"/>
          <w:color w:val="auto"/>
          <w:shd w:val="clear" w:color="auto" w:fill="auto"/>
        </w:rPr>
      </w:pPr>
      <w:r w:rsidRPr="00FD2939">
        <w:rPr>
          <w:rStyle w:val="FootnoteReference"/>
          <w:rFonts w:ascii="Times New Roman" w:hAnsi="Times New Roman" w:cs="Times New Roman"/>
        </w:rPr>
        <w:footnoteRef/>
      </w:r>
      <w:r w:rsidRPr="00FD2939">
        <w:rPr>
          <w:rFonts w:ascii="Times New Roman" w:hAnsi="Times New Roman" w:cs="Times New Roman"/>
        </w:rPr>
        <w:t xml:space="preserve"> Public Utility Regulatory Act, Tex. </w:t>
      </w:r>
      <w:bookmarkStart w:id="0" w:name="_Hlk102984051"/>
      <w:r w:rsidRPr="00FD2939">
        <w:rPr>
          <w:rFonts w:ascii="Times New Roman" w:hAnsi="Times New Roman" w:cs="Times New Roman"/>
        </w:rPr>
        <w:t>Util.</w:t>
      </w:r>
      <w:bookmarkEnd w:id="0"/>
      <w:r w:rsidRPr="00FD2939">
        <w:rPr>
          <w:rFonts w:ascii="Times New Roman" w:hAnsi="Times New Roman" w:cs="Times New Roman"/>
        </w:rPr>
        <w:t xml:space="preserve"> Code §§ 11.001-66.01</w:t>
      </w:r>
      <w:r w:rsidR="001A5D10">
        <w:rPr>
          <w:rFonts w:ascii="Times New Roman" w:hAnsi="Times New Roman" w:cs="Times New Roman"/>
        </w:rPr>
        <w:t>6</w:t>
      </w:r>
      <w:r w:rsidRPr="00FD2939">
        <w:rPr>
          <w:rFonts w:ascii="Times New Roman" w:hAnsi="Times New Roman" w:cs="Times New Roman"/>
        </w:rPr>
        <w:t xml:space="preserve"> (“PURA”).</w:t>
      </w:r>
    </w:p>
  </w:footnote>
  <w:footnote w:id="4">
    <w:p w:rsidR="00140AD1" w:rsidP="00140AD1" w14:paraId="07FBFCB9" w14:textId="77777777">
      <w:pPr>
        <w:pStyle w:val="FootnoteText"/>
        <w:rPr>
          <w:color w:val="auto"/>
          <w:shd w:val="clear" w:color="auto" w:fill="auto"/>
        </w:rPr>
      </w:pPr>
      <w:r>
        <w:rPr>
          <w:rStyle w:val="FootnoteReference"/>
        </w:rPr>
        <w:footnoteRef/>
      </w:r>
      <w:r>
        <w:t xml:space="preserve"> </w:t>
      </w:r>
      <w:r w:rsidRPr="00B238AF">
        <w:rPr>
          <w:rFonts w:ascii="Times New Roman" w:hAnsi="Times New Roman" w:cs="Times New Roman"/>
        </w:rPr>
        <w:t>Oncor has since designated Pegasus South as the “Quickriver Tap.”</w:t>
      </w:r>
    </w:p>
  </w:footnote>
  <w:footnote w:id="5">
    <w:p w:rsidR="003D58A8" w:rsidRPr="003D58A8" w:rsidP="00A74037" w14:paraId="547E73F5" w14:textId="5CD8EC36">
      <w:pPr>
        <w:pStyle w:val="FootnoteText"/>
        <w:spacing w:after="60"/>
        <w:jc w:val="both"/>
        <w:rPr>
          <w:rFonts w:ascii="Times New Roman" w:hAnsi="Times New Roman" w:cs="Times New Roman"/>
          <w:color w:val="auto"/>
          <w:shd w:val="clear" w:color="auto" w:fill="auto"/>
        </w:rPr>
      </w:pPr>
      <w:r w:rsidRPr="003D58A8">
        <w:rPr>
          <w:rStyle w:val="FootnoteReference"/>
          <w:rFonts w:ascii="Times New Roman" w:hAnsi="Times New Roman" w:cs="Times New Roman"/>
        </w:rPr>
        <w:footnoteRef/>
      </w:r>
      <w:r w:rsidRPr="003D58A8">
        <w:rPr>
          <w:rFonts w:ascii="Times New Roman" w:hAnsi="Times New Roman" w:cs="Times New Roman"/>
        </w:rPr>
        <w:t xml:space="preserve"> </w:t>
      </w:r>
      <w:r w:rsidR="00B238AF">
        <w:rPr>
          <w:rFonts w:ascii="Times New Roman" w:hAnsi="Times New Roman" w:cs="Times New Roman"/>
        </w:rPr>
        <w:t xml:space="preserve">“ONC90025_TAP” </w:t>
      </w:r>
      <w:r w:rsidR="00AA0822">
        <w:rPr>
          <w:rFonts w:ascii="Times New Roman" w:hAnsi="Times New Roman" w:cs="Times New Roman"/>
        </w:rPr>
        <w:t>represents</w:t>
      </w:r>
      <w:r w:rsidR="00B238AF">
        <w:rPr>
          <w:rFonts w:ascii="Times New Roman" w:hAnsi="Times New Roman" w:cs="Times New Roman"/>
        </w:rPr>
        <w:t xml:space="preserve"> </w:t>
      </w:r>
      <w:r w:rsidR="009911A2">
        <w:rPr>
          <w:rFonts w:ascii="Times New Roman" w:hAnsi="Times New Roman" w:cs="Times New Roman"/>
        </w:rPr>
        <w:t xml:space="preserve">a </w:t>
      </w:r>
      <w:r w:rsidR="00E066C2">
        <w:rPr>
          <w:rFonts w:ascii="Times New Roman" w:hAnsi="Times New Roman" w:cs="Times New Roman"/>
        </w:rPr>
        <w:t xml:space="preserve">theoretical bus/load point used by ERCOT in conducting power-flow analyses.  </w:t>
      </w:r>
      <w:r w:rsidR="00641D44">
        <w:rPr>
          <w:rFonts w:ascii="Times New Roman" w:hAnsi="Times New Roman" w:cs="Times New Roman"/>
        </w:rPr>
        <w:t>This point</w:t>
      </w:r>
      <w:r w:rsidR="00E066C2">
        <w:rPr>
          <w:rFonts w:ascii="Times New Roman" w:hAnsi="Times New Roman" w:cs="Times New Roman"/>
        </w:rPr>
        <w:t xml:space="preserve"> lies roughly equidistant between the proposed locations of the Quickriver Tap (f/k/a Pegasus South) and Barr Ranch Switch, but does not correspond to a real-world tap point or </w:t>
      </w:r>
      <w:r w:rsidR="00A74037">
        <w:rPr>
          <w:rFonts w:ascii="Times New Roman" w:hAnsi="Times New Roman" w:cs="Times New Roman"/>
        </w:rPr>
        <w:t xml:space="preserve">any </w:t>
      </w:r>
      <w:r w:rsidR="00E066C2">
        <w:rPr>
          <w:rFonts w:ascii="Times New Roman" w:hAnsi="Times New Roman" w:cs="Times New Roman"/>
        </w:rPr>
        <w:t xml:space="preserve">other physical </w:t>
      </w:r>
      <w:r w:rsidR="00A74037">
        <w:rPr>
          <w:rFonts w:ascii="Times New Roman" w:hAnsi="Times New Roman" w:cs="Times New Roman"/>
        </w:rPr>
        <w:t>component</w:t>
      </w:r>
      <w:r w:rsidR="00E066C2">
        <w:rPr>
          <w:rFonts w:ascii="Times New Roman" w:hAnsi="Times New Roman" w:cs="Times New Roman"/>
        </w:rPr>
        <w:t xml:space="preserve"> of the Project.  </w:t>
      </w:r>
      <w:r w:rsidR="00A74037">
        <w:rPr>
          <w:rFonts w:ascii="Times New Roman" w:hAnsi="Times New Roman" w:cs="Times New Roman"/>
        </w:rPr>
        <w:t xml:space="preserve">Accordingly, while </w:t>
      </w:r>
      <w:r w:rsidR="00E066C2">
        <w:rPr>
          <w:rFonts w:ascii="Times New Roman" w:hAnsi="Times New Roman" w:cs="Times New Roman"/>
        </w:rPr>
        <w:t xml:space="preserve">ERCOT’s independent review described </w:t>
      </w:r>
      <w:r w:rsidR="00A74037">
        <w:rPr>
          <w:rFonts w:ascii="Times New Roman" w:hAnsi="Times New Roman" w:cs="Times New Roman"/>
        </w:rPr>
        <w:t>the Barr Ranch – Quickriver portion of the Project as</w:t>
      </w:r>
      <w:r w:rsidR="00E066C2">
        <w:rPr>
          <w:rFonts w:ascii="Times New Roman" w:hAnsi="Times New Roman" w:cs="Times New Roman"/>
        </w:rPr>
        <w:t xml:space="preserve"> a</w:t>
      </w:r>
      <w:r w:rsidR="00A74037">
        <w:rPr>
          <w:rFonts w:ascii="Times New Roman" w:hAnsi="Times New Roman" w:cs="Times New Roman"/>
        </w:rPr>
        <w:t xml:space="preserve">n approximately </w:t>
      </w:r>
      <w:r w:rsidR="00E066C2">
        <w:rPr>
          <w:rFonts w:ascii="Times New Roman" w:hAnsi="Times New Roman" w:cs="Times New Roman"/>
        </w:rPr>
        <w:t>4.4</w:t>
      </w:r>
      <w:r w:rsidR="00A74037">
        <w:rPr>
          <w:rFonts w:ascii="Times New Roman" w:hAnsi="Times New Roman" w:cs="Times New Roman"/>
        </w:rPr>
        <w:t>-</w:t>
      </w:r>
      <w:r w:rsidR="00E066C2">
        <w:rPr>
          <w:rFonts w:ascii="Times New Roman" w:hAnsi="Times New Roman" w:cs="Times New Roman"/>
        </w:rPr>
        <w:t>mile transmission line from Barr Ranch to ONC90025_TAP and a</w:t>
      </w:r>
      <w:r w:rsidR="00A74037">
        <w:rPr>
          <w:rFonts w:ascii="Times New Roman" w:hAnsi="Times New Roman" w:cs="Times New Roman"/>
        </w:rPr>
        <w:t xml:space="preserve">n approximately </w:t>
      </w:r>
      <w:r w:rsidR="00E066C2">
        <w:rPr>
          <w:rFonts w:ascii="Times New Roman" w:hAnsi="Times New Roman" w:cs="Times New Roman"/>
        </w:rPr>
        <w:t>4.4</w:t>
      </w:r>
      <w:r w:rsidR="00A74037">
        <w:rPr>
          <w:rFonts w:ascii="Times New Roman" w:hAnsi="Times New Roman" w:cs="Times New Roman"/>
        </w:rPr>
        <w:t>-</w:t>
      </w:r>
      <w:r w:rsidR="00E066C2">
        <w:rPr>
          <w:rFonts w:ascii="Times New Roman" w:hAnsi="Times New Roman" w:cs="Times New Roman"/>
        </w:rPr>
        <w:t>mile transmission line from ONC90025_TAP to Quickriver Tap</w:t>
      </w:r>
      <w:r w:rsidR="00A74037">
        <w:rPr>
          <w:rFonts w:ascii="Times New Roman" w:hAnsi="Times New Roman" w:cs="Times New Roman"/>
        </w:rPr>
        <w:t xml:space="preserve">, in practice this portion will be constructed as a continuous transmission line of approximately 9 miles.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028C" w14:paraId="6562B43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028C" w14:paraId="71AD189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D028C" w14:paraId="261209AD"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E30011E"/>
    <w:multiLevelType w:val="hybridMultilevel"/>
    <w:tmpl w:val="03BA37AC"/>
    <w:lvl w:ilvl="0">
      <w:start w:val="1"/>
      <w:numFmt w:val="decimal"/>
      <w:lvlText w:val="%1."/>
      <w:lvlJc w:val="left"/>
      <w:pPr>
        <w:ind w:left="720" w:hanging="360"/>
      </w:pPr>
      <w:rPr>
        <w:rFonts w:hint="default"/>
        <w:i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4916120B"/>
    <w:multiLevelType w:val="hybridMultilevel"/>
    <w:tmpl w:val="C68428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
    <w:nsid w:val="67237C56"/>
    <w:multiLevelType w:val="hybridMultilevel"/>
    <w:tmpl w:val="C86430B8"/>
    <w:lvl w:ilvl="0">
      <w:start w:val="1"/>
      <w:numFmt w:val="upperRoman"/>
      <w:lvlText w:val="%1."/>
      <w:lvlJc w:val="right"/>
      <w:pPr>
        <w:ind w:left="720" w:hanging="360"/>
      </w:pPr>
      <w:rPr>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73764C2B"/>
    <w:multiLevelType w:val="multilevel"/>
    <w:tmpl w:val="A8C2A296"/>
    <w:lvl w:ilvl="0">
      <w:start w:val="4"/>
      <w:numFmt w:val="decimal"/>
      <w:lvlText w:val="%1"/>
      <w:lvlJc w:val="left"/>
      <w:pPr>
        <w:ind w:left="823" w:hanging="432"/>
      </w:pPr>
    </w:lvl>
    <w:lvl w:ilvl="1">
      <w:start w:val="1"/>
      <w:numFmt w:val="decimal"/>
      <w:lvlText w:val="%1.%2."/>
      <w:lvlJc w:val="left"/>
      <w:pPr>
        <w:ind w:left="823" w:hanging="432"/>
      </w:pPr>
      <w:rPr>
        <w:rFonts w:ascii="Arial" w:eastAsia="Arial" w:hAnsi="Arial" w:cs="Times New Roman" w:hint="default"/>
        <w:b/>
        <w:bCs/>
        <w:color w:val="00AEC7"/>
        <w:spacing w:val="-1"/>
        <w:sz w:val="22"/>
        <w:szCs w:val="22"/>
      </w:rPr>
    </w:lvl>
    <w:lvl w:ilvl="2">
      <w:start w:val="1"/>
      <w:numFmt w:val="bullet"/>
      <w:lvlText w:val=""/>
      <w:lvlJc w:val="left"/>
      <w:pPr>
        <w:ind w:left="1055" w:hanging="361"/>
      </w:pPr>
      <w:rPr>
        <w:rFonts w:ascii="Wingdings" w:eastAsia="Wingdings" w:hAnsi="Wingdings" w:hint="default"/>
        <w:color w:val="5B6770"/>
        <w:sz w:val="21"/>
        <w:szCs w:val="21"/>
      </w:rPr>
    </w:lvl>
    <w:lvl w:ilvl="3">
      <w:start w:val="1"/>
      <w:numFmt w:val="bullet"/>
      <w:lvlText w:val="-"/>
      <w:lvlJc w:val="left"/>
      <w:pPr>
        <w:ind w:left="1343" w:hanging="360"/>
      </w:pPr>
      <w:rPr>
        <w:rFonts w:ascii="Courier New" w:eastAsia="Courier New" w:hAnsi="Courier New" w:cs="Times New Roman" w:hint="default"/>
        <w:color w:val="5B6770"/>
        <w:sz w:val="21"/>
        <w:szCs w:val="21"/>
      </w:rPr>
    </w:lvl>
    <w:lvl w:ilvl="4">
      <w:start w:val="1"/>
      <w:numFmt w:val="bullet"/>
      <w:lvlText w:val="•"/>
      <w:lvlJc w:val="left"/>
      <w:pPr>
        <w:ind w:left="1323" w:hanging="360"/>
      </w:pPr>
    </w:lvl>
    <w:lvl w:ilvl="5">
      <w:start w:val="1"/>
      <w:numFmt w:val="bullet"/>
      <w:lvlText w:val="•"/>
      <w:lvlJc w:val="left"/>
      <w:pPr>
        <w:ind w:left="1323" w:hanging="360"/>
      </w:pPr>
    </w:lvl>
    <w:lvl w:ilvl="6">
      <w:start w:val="1"/>
      <w:numFmt w:val="bullet"/>
      <w:lvlText w:val="•"/>
      <w:lvlJc w:val="left"/>
      <w:pPr>
        <w:ind w:left="1343" w:hanging="360"/>
      </w:pPr>
    </w:lvl>
    <w:lvl w:ilvl="7">
      <w:start w:val="1"/>
      <w:numFmt w:val="bullet"/>
      <w:lvlText w:val="•"/>
      <w:lvlJc w:val="left"/>
      <w:pPr>
        <w:ind w:left="1343" w:hanging="360"/>
      </w:pPr>
    </w:lvl>
    <w:lvl w:ilvl="8">
      <w:start w:val="1"/>
      <w:numFmt w:val="bullet"/>
      <w:lvlText w:val="•"/>
      <w:lvlJc w:val="left"/>
      <w:pPr>
        <w:ind w:left="1344" w:hanging="360"/>
      </w:pPr>
    </w:lvl>
  </w:abstractNum>
  <w:abstractNum w:abstractNumId="4">
    <w:nsid w:val="77333041"/>
    <w:multiLevelType w:val="hybridMultilevel"/>
    <w:tmpl w:val="A8381296"/>
    <w:lvl w:ilvl="0">
      <w:start w:val="1"/>
      <w:numFmt w:val="upperRoman"/>
      <w:lvlText w:val="%1."/>
      <w:lvlJc w:val="left"/>
      <w:pPr>
        <w:ind w:left="1440" w:hanging="72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7C6B5D2B"/>
    <w:multiLevelType w:val="hybridMultilevel"/>
    <w:tmpl w:val="AEF8F714"/>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num w:numId="1">
    <w:abstractNumId w:val="4"/>
  </w:num>
  <w:num w:numId="2">
    <w:abstractNumId w:val="2"/>
  </w:num>
  <w:num w:numId="3">
    <w:abstractNumId w:val="0"/>
  </w:num>
  <w:num w:numId="4">
    <w:abstractNumId w:val="3"/>
    <w:lvlOverride w:ilvl="0">
      <w:startOverride w:val="4"/>
    </w:lvlOverride>
    <w:lvlOverride w:ilvl="1">
      <w:startOverride w:val="1"/>
    </w:lvlOverride>
    <w:lvlOverride w:ilvl="2"/>
    <w:lvlOverride w:ilvl="3"/>
    <w:lvlOverride w:ilvl="4"/>
    <w:lvlOverride w:ilvl="5"/>
    <w:lvlOverride w:ilvl="6"/>
    <w:lvlOverride w:ilvl="7"/>
    <w:lvlOverride w:ilvl="8"/>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7BA"/>
    <w:rsid w:val="0000529E"/>
    <w:rsid w:val="000217EC"/>
    <w:rsid w:val="00027C77"/>
    <w:rsid w:val="0003152B"/>
    <w:rsid w:val="0004086A"/>
    <w:rsid w:val="0006181D"/>
    <w:rsid w:val="00081603"/>
    <w:rsid w:val="000A52C6"/>
    <w:rsid w:val="000D028C"/>
    <w:rsid w:val="0011128B"/>
    <w:rsid w:val="00127220"/>
    <w:rsid w:val="00140AD1"/>
    <w:rsid w:val="00153D11"/>
    <w:rsid w:val="001A5D10"/>
    <w:rsid w:val="001B56FF"/>
    <w:rsid w:val="001E3155"/>
    <w:rsid w:val="001E6092"/>
    <w:rsid w:val="0020007B"/>
    <w:rsid w:val="00221043"/>
    <w:rsid w:val="00237FDB"/>
    <w:rsid w:val="002542E7"/>
    <w:rsid w:val="00263312"/>
    <w:rsid w:val="0027537C"/>
    <w:rsid w:val="00286184"/>
    <w:rsid w:val="002A48D9"/>
    <w:rsid w:val="002B18DB"/>
    <w:rsid w:val="002C38F1"/>
    <w:rsid w:val="00325766"/>
    <w:rsid w:val="00361879"/>
    <w:rsid w:val="003C79A8"/>
    <w:rsid w:val="003D19E2"/>
    <w:rsid w:val="003D4000"/>
    <w:rsid w:val="003D58A8"/>
    <w:rsid w:val="003E7681"/>
    <w:rsid w:val="00430E5A"/>
    <w:rsid w:val="00434C6A"/>
    <w:rsid w:val="00471DC3"/>
    <w:rsid w:val="0048136C"/>
    <w:rsid w:val="004B6CCC"/>
    <w:rsid w:val="004C293A"/>
    <w:rsid w:val="004E3922"/>
    <w:rsid w:val="004F776B"/>
    <w:rsid w:val="00513402"/>
    <w:rsid w:val="00526655"/>
    <w:rsid w:val="00531610"/>
    <w:rsid w:val="00531B7B"/>
    <w:rsid w:val="005718BA"/>
    <w:rsid w:val="00577CC7"/>
    <w:rsid w:val="005B10CB"/>
    <w:rsid w:val="005C153F"/>
    <w:rsid w:val="005C15A9"/>
    <w:rsid w:val="005C6292"/>
    <w:rsid w:val="005D3208"/>
    <w:rsid w:val="005F7A14"/>
    <w:rsid w:val="00601EF5"/>
    <w:rsid w:val="0061076E"/>
    <w:rsid w:val="00625ED8"/>
    <w:rsid w:val="006353EE"/>
    <w:rsid w:val="00636BA3"/>
    <w:rsid w:val="00641D44"/>
    <w:rsid w:val="00655F38"/>
    <w:rsid w:val="00680569"/>
    <w:rsid w:val="00696E7E"/>
    <w:rsid w:val="006A0520"/>
    <w:rsid w:val="006A31CF"/>
    <w:rsid w:val="006A7C2A"/>
    <w:rsid w:val="006C4F09"/>
    <w:rsid w:val="006E4685"/>
    <w:rsid w:val="00711217"/>
    <w:rsid w:val="007523A4"/>
    <w:rsid w:val="00765848"/>
    <w:rsid w:val="00771861"/>
    <w:rsid w:val="00771CD3"/>
    <w:rsid w:val="00790307"/>
    <w:rsid w:val="0079318C"/>
    <w:rsid w:val="007B2E7F"/>
    <w:rsid w:val="007D29D9"/>
    <w:rsid w:val="007D44D2"/>
    <w:rsid w:val="007E51A5"/>
    <w:rsid w:val="007F6E20"/>
    <w:rsid w:val="00853C85"/>
    <w:rsid w:val="00865686"/>
    <w:rsid w:val="008B3C76"/>
    <w:rsid w:val="008E3B1F"/>
    <w:rsid w:val="00902B6F"/>
    <w:rsid w:val="00907CF9"/>
    <w:rsid w:val="009268D0"/>
    <w:rsid w:val="009911A2"/>
    <w:rsid w:val="009A46BF"/>
    <w:rsid w:val="009C3CF2"/>
    <w:rsid w:val="009C6FAE"/>
    <w:rsid w:val="009D4B01"/>
    <w:rsid w:val="00A1493B"/>
    <w:rsid w:val="00A26818"/>
    <w:rsid w:val="00A55C19"/>
    <w:rsid w:val="00A71110"/>
    <w:rsid w:val="00A74037"/>
    <w:rsid w:val="00A80998"/>
    <w:rsid w:val="00A8753E"/>
    <w:rsid w:val="00AA0822"/>
    <w:rsid w:val="00AA2013"/>
    <w:rsid w:val="00AA3A50"/>
    <w:rsid w:val="00AB6765"/>
    <w:rsid w:val="00AE0D0B"/>
    <w:rsid w:val="00B1178A"/>
    <w:rsid w:val="00B238AF"/>
    <w:rsid w:val="00B328D8"/>
    <w:rsid w:val="00B50153"/>
    <w:rsid w:val="00B571C9"/>
    <w:rsid w:val="00B91884"/>
    <w:rsid w:val="00BC62F8"/>
    <w:rsid w:val="00BE4854"/>
    <w:rsid w:val="00BE5601"/>
    <w:rsid w:val="00BF1385"/>
    <w:rsid w:val="00BF3CA6"/>
    <w:rsid w:val="00C06DC8"/>
    <w:rsid w:val="00C253BE"/>
    <w:rsid w:val="00C31DDB"/>
    <w:rsid w:val="00C33D85"/>
    <w:rsid w:val="00C3674A"/>
    <w:rsid w:val="00C367DF"/>
    <w:rsid w:val="00C433BA"/>
    <w:rsid w:val="00C60D9A"/>
    <w:rsid w:val="00C74E75"/>
    <w:rsid w:val="00C92968"/>
    <w:rsid w:val="00C95D8F"/>
    <w:rsid w:val="00CC15F3"/>
    <w:rsid w:val="00CC715C"/>
    <w:rsid w:val="00CE20B8"/>
    <w:rsid w:val="00CF4E54"/>
    <w:rsid w:val="00D6004D"/>
    <w:rsid w:val="00D63C78"/>
    <w:rsid w:val="00D7185A"/>
    <w:rsid w:val="00D854E4"/>
    <w:rsid w:val="00D870AD"/>
    <w:rsid w:val="00DA49B1"/>
    <w:rsid w:val="00DC230A"/>
    <w:rsid w:val="00DC39CE"/>
    <w:rsid w:val="00DC5567"/>
    <w:rsid w:val="00DD3494"/>
    <w:rsid w:val="00DD6D7D"/>
    <w:rsid w:val="00DF65AF"/>
    <w:rsid w:val="00E066C2"/>
    <w:rsid w:val="00E07DBF"/>
    <w:rsid w:val="00E359CC"/>
    <w:rsid w:val="00E4396F"/>
    <w:rsid w:val="00E52B3F"/>
    <w:rsid w:val="00E56BB7"/>
    <w:rsid w:val="00E618A9"/>
    <w:rsid w:val="00E7086D"/>
    <w:rsid w:val="00EB62B7"/>
    <w:rsid w:val="00EC189F"/>
    <w:rsid w:val="00ED6DAA"/>
    <w:rsid w:val="00ED7778"/>
    <w:rsid w:val="00EE2B0F"/>
    <w:rsid w:val="00EE5486"/>
    <w:rsid w:val="00EF6F53"/>
    <w:rsid w:val="00F53FDB"/>
    <w:rsid w:val="00F649DD"/>
    <w:rsid w:val="00FB3B34"/>
    <w:rsid w:val="00FB3E0E"/>
    <w:rsid w:val="00FD11C8"/>
    <w:rsid w:val="00FD27BA"/>
    <w:rsid w:val="00FD2939"/>
    <w:rsid w:val="00FD7D82"/>
    <w:rsid w:val="00FE0282"/>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66BF3BD6-D003-47E6-8E84-300D7797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7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7BA"/>
    <w:pPr>
      <w:ind w:left="720"/>
      <w:contextualSpacing/>
    </w:pPr>
  </w:style>
  <w:style w:type="paragraph" w:styleId="FootnoteText">
    <w:name w:val="footnote text"/>
    <w:basedOn w:val="Normal"/>
    <w:link w:val="FootnoteTextChar"/>
    <w:uiPriority w:val="99"/>
    <w:semiHidden/>
    <w:unhideWhenUsed/>
    <w:rsid w:val="004B6C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6CCC"/>
    <w:rPr>
      <w:sz w:val="20"/>
      <w:szCs w:val="20"/>
    </w:rPr>
  </w:style>
  <w:style w:type="character" w:styleId="FootnoteReference">
    <w:name w:val="footnote reference"/>
    <w:basedOn w:val="DefaultParagraphFont"/>
    <w:uiPriority w:val="99"/>
    <w:semiHidden/>
    <w:unhideWhenUsed/>
    <w:rsid w:val="004B6CCC"/>
    <w:rPr>
      <w:vertAlign w:val="superscript"/>
    </w:rPr>
  </w:style>
  <w:style w:type="character" w:styleId="Hyperlink">
    <w:name w:val="Hyperlink"/>
    <w:basedOn w:val="DefaultParagraphFont"/>
    <w:uiPriority w:val="99"/>
    <w:unhideWhenUsed/>
    <w:rsid w:val="004B6CCC"/>
    <w:rPr>
      <w:color w:val="0000FF" w:themeColor="hyperlink"/>
      <w:u w:val="single"/>
    </w:rPr>
  </w:style>
  <w:style w:type="paragraph" w:styleId="Header">
    <w:name w:val="header"/>
    <w:basedOn w:val="Normal"/>
    <w:link w:val="HeaderChar"/>
    <w:uiPriority w:val="99"/>
    <w:unhideWhenUsed/>
    <w:rsid w:val="007B2E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2E7F"/>
  </w:style>
  <w:style w:type="paragraph" w:styleId="Footer">
    <w:name w:val="footer"/>
    <w:basedOn w:val="Normal"/>
    <w:link w:val="FooterChar"/>
    <w:uiPriority w:val="99"/>
    <w:unhideWhenUsed/>
    <w:rsid w:val="007B2E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2E7F"/>
  </w:style>
  <w:style w:type="character" w:styleId="CommentReference">
    <w:name w:val="annotation reference"/>
    <w:basedOn w:val="DefaultParagraphFont"/>
    <w:uiPriority w:val="99"/>
    <w:semiHidden/>
    <w:unhideWhenUsed/>
    <w:rsid w:val="00CF4E54"/>
    <w:rPr>
      <w:sz w:val="16"/>
      <w:szCs w:val="16"/>
    </w:rPr>
  </w:style>
  <w:style w:type="paragraph" w:styleId="CommentText">
    <w:name w:val="annotation text"/>
    <w:basedOn w:val="Normal"/>
    <w:link w:val="CommentTextChar"/>
    <w:uiPriority w:val="99"/>
    <w:semiHidden/>
    <w:unhideWhenUsed/>
    <w:rsid w:val="00CF4E54"/>
    <w:pPr>
      <w:spacing w:line="240" w:lineRule="auto"/>
    </w:pPr>
    <w:rPr>
      <w:sz w:val="20"/>
      <w:szCs w:val="20"/>
    </w:rPr>
  </w:style>
  <w:style w:type="character" w:customStyle="1" w:styleId="CommentTextChar">
    <w:name w:val="Comment Text Char"/>
    <w:basedOn w:val="DefaultParagraphFont"/>
    <w:link w:val="CommentText"/>
    <w:uiPriority w:val="99"/>
    <w:semiHidden/>
    <w:rsid w:val="00CF4E54"/>
    <w:rPr>
      <w:sz w:val="20"/>
      <w:szCs w:val="20"/>
    </w:rPr>
  </w:style>
  <w:style w:type="paragraph" w:styleId="CommentSubject">
    <w:name w:val="annotation subject"/>
    <w:basedOn w:val="CommentText"/>
    <w:next w:val="CommentText"/>
    <w:link w:val="CommentSubjectChar"/>
    <w:uiPriority w:val="99"/>
    <w:semiHidden/>
    <w:unhideWhenUsed/>
    <w:rsid w:val="00CF4E54"/>
    <w:rPr>
      <w:b/>
      <w:bCs/>
    </w:rPr>
  </w:style>
  <w:style w:type="character" w:customStyle="1" w:styleId="CommentSubjectChar">
    <w:name w:val="Comment Subject Char"/>
    <w:basedOn w:val="CommentTextChar"/>
    <w:link w:val="CommentSubject"/>
    <w:uiPriority w:val="99"/>
    <w:semiHidden/>
    <w:rsid w:val="00CF4E54"/>
    <w:rPr>
      <w:b/>
      <w:bCs/>
      <w:sz w:val="20"/>
      <w:szCs w:val="20"/>
    </w:rPr>
  </w:style>
  <w:style w:type="paragraph" w:styleId="BalloonText">
    <w:name w:val="Balloon Text"/>
    <w:basedOn w:val="Normal"/>
    <w:link w:val="BalloonTextChar"/>
    <w:uiPriority w:val="99"/>
    <w:semiHidden/>
    <w:unhideWhenUsed/>
    <w:rsid w:val="00CF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E54"/>
    <w:rPr>
      <w:rFonts w:ascii="Tahoma" w:hAnsi="Tahoma" w:cs="Tahoma"/>
      <w:sz w:val="16"/>
      <w:szCs w:val="16"/>
    </w:rPr>
  </w:style>
  <w:style w:type="character" w:styleId="FollowedHyperlink">
    <w:name w:val="FollowedHyperlink"/>
    <w:basedOn w:val="DefaultParagraphFont"/>
    <w:uiPriority w:val="99"/>
    <w:semiHidden/>
    <w:unhideWhenUsed/>
    <w:rsid w:val="00127220"/>
    <w:rPr>
      <w:color w:val="800080" w:themeColor="followedHyperlink"/>
      <w:u w:val="single"/>
    </w:rPr>
  </w:style>
  <w:style w:type="character" w:customStyle="1" w:styleId="UnresolvedMention1">
    <w:name w:val="Unresolved Mention1"/>
    <w:basedOn w:val="DefaultParagraphFont"/>
    <w:uiPriority w:val="99"/>
    <w:semiHidden/>
    <w:unhideWhenUsed/>
    <w:rsid w:val="007D29D9"/>
    <w:rPr>
      <w:color w:val="605E5C"/>
      <w:shd w:val="clear" w:color="auto" w:fill="E1DFDD"/>
    </w:rPr>
  </w:style>
  <w:style w:type="character" w:customStyle="1" w:styleId="DocID">
    <w:name w:val="DocID"/>
    <w:basedOn w:val="DefaultParagraphFont"/>
    <w:rsid w:val="00FD7D82"/>
    <w:rPr>
      <w:rFonts w:ascii="Times New Roman" w:hAnsi="Times New Roman" w:cs="Times New Roman"/>
      <w:b w:val="0"/>
      <w:i w:val="0"/>
      <w:caps w:val="0"/>
      <w:vanish w:val="0"/>
      <w:color w:val="000000"/>
      <w:sz w:val="18"/>
      <w:szCs w:val="24"/>
      <w:u w:val="none"/>
    </w:rPr>
  </w:style>
  <w:style w:type="character" w:customStyle="1" w:styleId="UnresolvedMention2">
    <w:name w:val="Unresolved Mention2"/>
    <w:basedOn w:val="DefaultParagraphFont"/>
    <w:uiPriority w:val="99"/>
    <w:semiHidden/>
    <w:unhideWhenUsed/>
    <w:rsid w:val="00A149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1681</Words>
  <Characters>9491</Characters>
  <Application>Microsoft Office Word</Application>
  <DocSecurity>0</DocSecurity>
  <Lines>70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8843417</vt:lpwstr>
  </property>
  <property fmtid="{D5CDD505-2E9C-101B-9397-08002B2CF9AE}" pid="7" name="DocumentVersion">
    <vt:lpwstr>3</vt:lpwstr>
  </property>
  <property fmtid="{D5CDD505-2E9C-101B-9397-08002B2CF9AE}" pid="8" name="EditDate">
    <vt:lpwstr>5/10/2022 2:34:54 PM</vt:lpwstr>
  </property>
  <property fmtid="{D5CDD505-2E9C-101B-9397-08002B2CF9AE}" pid="9" name="EditTime">
    <vt:lpwstr/>
  </property>
  <property fmtid="{D5CDD505-2E9C-101B-9397-08002B2CF9AE}" pid="10" name="InUseBy">
    <vt:lpwstr>640305</vt:lpwstr>
  </property>
  <property fmtid="{D5CDD505-2E9C-101B-9397-08002B2CF9AE}" pid="11" name="MatterName">
    <vt:lpwstr>Flat Iron Sub – Barr Ranch Switch – Quickriver Tap 138 kV line (Sweetie Peck); WA# OPT 46371</vt:lpwstr>
  </property>
  <property fmtid="{D5CDD505-2E9C-101B-9397-08002B2CF9AE}" pid="12" name="MatterNumber">
    <vt:lpwstr>26013</vt:lpwstr>
  </property>
  <property fmtid="{D5CDD505-2E9C-101B-9397-08002B2CF9AE}" pid="13" name="TypistName">
    <vt:lpwstr>640305</vt:lpwstr>
  </property>
</Properties>
</file>